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B95" w:rsidRDefault="00240A3B" w:rsidP="007E1B95">
      <w:pPr>
        <w:spacing w:after="200" w:line="276" w:lineRule="auto"/>
        <w:jc w:val="right"/>
        <w:rPr>
          <w:rFonts w:ascii="Tahoma" w:eastAsia="Calibri" w:hAnsi="Tahoma" w:cs="Tahoma"/>
          <w:sz w:val="24"/>
          <w:szCs w:val="24"/>
          <w:lang w:val="es-ES"/>
        </w:rPr>
      </w:pPr>
      <w:bookmarkStart w:id="0" w:name="_GoBack"/>
      <w:bookmarkEnd w:id="0"/>
      <w:r>
        <w:rPr>
          <w:rFonts w:ascii="Tahoma" w:eastAsia="Calibri" w:hAnsi="Tahoma" w:cs="Tahoma"/>
          <w:sz w:val="24"/>
          <w:szCs w:val="24"/>
          <w:lang w:val="es-ES"/>
        </w:rPr>
        <w:t>Chascomús, 9</w:t>
      </w:r>
      <w:r w:rsidR="007E1B95">
        <w:rPr>
          <w:rFonts w:ascii="Tahoma" w:eastAsia="Calibri" w:hAnsi="Tahoma" w:cs="Tahoma"/>
          <w:sz w:val="24"/>
          <w:szCs w:val="24"/>
          <w:lang w:val="es-ES"/>
        </w:rPr>
        <w:t xml:space="preserve"> de </w:t>
      </w:r>
      <w:r>
        <w:rPr>
          <w:rFonts w:ascii="Tahoma" w:eastAsia="Calibri" w:hAnsi="Tahoma" w:cs="Tahoma"/>
          <w:sz w:val="24"/>
          <w:szCs w:val="24"/>
          <w:lang w:val="es-ES"/>
        </w:rPr>
        <w:t>ABRIL</w:t>
      </w:r>
      <w:r w:rsidR="0062732A">
        <w:rPr>
          <w:rFonts w:ascii="Tahoma" w:eastAsia="Calibri" w:hAnsi="Tahoma" w:cs="Tahoma"/>
          <w:sz w:val="24"/>
          <w:szCs w:val="24"/>
          <w:lang w:val="es-ES"/>
        </w:rPr>
        <w:t xml:space="preserve"> del 2023</w:t>
      </w:r>
      <w:r w:rsidR="007E1B95">
        <w:rPr>
          <w:rFonts w:ascii="Tahoma" w:eastAsia="Calibri" w:hAnsi="Tahoma" w:cs="Tahoma"/>
          <w:sz w:val="24"/>
          <w:szCs w:val="24"/>
          <w:lang w:val="es-ES"/>
        </w:rPr>
        <w:t>.-</w:t>
      </w:r>
    </w:p>
    <w:p w:rsidR="007E1B95" w:rsidRDefault="007E1B95" w:rsidP="007E1B95">
      <w:pPr>
        <w:spacing w:after="200" w:line="276" w:lineRule="auto"/>
        <w:jc w:val="both"/>
        <w:rPr>
          <w:rFonts w:ascii="Tahoma" w:eastAsia="Calibri" w:hAnsi="Tahoma" w:cs="Tahoma"/>
          <w:sz w:val="24"/>
          <w:szCs w:val="24"/>
          <w:lang w:val="es-ES"/>
        </w:rPr>
      </w:pPr>
    </w:p>
    <w:p w:rsidR="007E1B95" w:rsidRDefault="007E1B95" w:rsidP="007E1B95">
      <w:pPr>
        <w:spacing w:after="200" w:line="240" w:lineRule="auto"/>
        <w:jc w:val="both"/>
        <w:rPr>
          <w:rFonts w:ascii="Tahoma" w:eastAsia="Calibri" w:hAnsi="Tahoma" w:cs="Tahoma"/>
          <w:sz w:val="24"/>
          <w:szCs w:val="24"/>
          <w:lang w:val="es-ES"/>
        </w:rPr>
      </w:pPr>
      <w:r>
        <w:rPr>
          <w:rFonts w:ascii="Tahoma" w:eastAsia="Calibri" w:hAnsi="Tahoma" w:cs="Tahoma"/>
          <w:sz w:val="24"/>
          <w:szCs w:val="24"/>
          <w:lang w:val="es-ES"/>
        </w:rPr>
        <w:t>Sr. Presidente</w:t>
      </w:r>
    </w:p>
    <w:p w:rsidR="007E1B95" w:rsidRDefault="007E1B95" w:rsidP="007E1B95">
      <w:pPr>
        <w:spacing w:after="200" w:line="240" w:lineRule="auto"/>
        <w:jc w:val="both"/>
        <w:rPr>
          <w:rFonts w:ascii="Tahoma" w:eastAsia="Calibri" w:hAnsi="Tahoma" w:cs="Tahoma"/>
          <w:sz w:val="24"/>
          <w:szCs w:val="24"/>
          <w:lang w:val="es-ES"/>
        </w:rPr>
      </w:pPr>
      <w:r>
        <w:rPr>
          <w:rFonts w:ascii="Tahoma" w:eastAsia="Calibri" w:hAnsi="Tahoma" w:cs="Tahoma"/>
          <w:sz w:val="24"/>
          <w:szCs w:val="24"/>
          <w:lang w:val="es-ES"/>
        </w:rPr>
        <w:t>Honorable Concejo Deliberante</w:t>
      </w:r>
    </w:p>
    <w:p w:rsidR="007E1B95" w:rsidRDefault="00240A3B" w:rsidP="007E1B95">
      <w:pPr>
        <w:spacing w:after="200" w:line="240" w:lineRule="auto"/>
        <w:jc w:val="both"/>
        <w:rPr>
          <w:rFonts w:ascii="Tahoma" w:eastAsia="Calibri" w:hAnsi="Tahoma" w:cs="Tahoma"/>
          <w:b/>
          <w:sz w:val="24"/>
          <w:szCs w:val="24"/>
          <w:lang w:val="es-ES"/>
        </w:rPr>
      </w:pPr>
      <w:r>
        <w:rPr>
          <w:rFonts w:ascii="Tahoma" w:eastAsia="Calibri" w:hAnsi="Tahoma" w:cs="Tahoma"/>
          <w:b/>
          <w:sz w:val="24"/>
          <w:szCs w:val="24"/>
          <w:lang w:val="es-ES"/>
        </w:rPr>
        <w:t>ANDRES SANUCCI</w:t>
      </w:r>
      <w:r>
        <w:rPr>
          <w:rFonts w:ascii="Tahoma" w:eastAsia="Calibri" w:hAnsi="Tahoma" w:cs="Tahoma"/>
          <w:b/>
          <w:sz w:val="24"/>
          <w:szCs w:val="24"/>
          <w:lang w:val="es-ES"/>
        </w:rPr>
        <w:tab/>
      </w:r>
    </w:p>
    <w:p w:rsidR="007E1B95" w:rsidRDefault="007E1B95" w:rsidP="000C577B">
      <w:pPr>
        <w:spacing w:after="200" w:line="240" w:lineRule="auto"/>
        <w:jc w:val="both"/>
        <w:rPr>
          <w:rFonts w:ascii="Tahoma" w:eastAsia="Calibri" w:hAnsi="Tahoma" w:cs="Tahoma"/>
          <w:sz w:val="24"/>
          <w:szCs w:val="24"/>
          <w:lang w:val="es-ES"/>
        </w:rPr>
      </w:pPr>
      <w:r>
        <w:rPr>
          <w:rFonts w:ascii="Tahoma" w:eastAsia="Calibri" w:hAnsi="Tahoma" w:cs="Tahoma"/>
          <w:sz w:val="24"/>
          <w:szCs w:val="24"/>
          <w:lang w:val="es-ES"/>
        </w:rPr>
        <w:t>S/D</w:t>
      </w:r>
    </w:p>
    <w:p w:rsidR="007E1B95" w:rsidRDefault="007E1B95" w:rsidP="007E1B95">
      <w:pPr>
        <w:spacing w:after="200" w:line="276" w:lineRule="auto"/>
        <w:jc w:val="both"/>
        <w:rPr>
          <w:rFonts w:ascii="Tahoma" w:eastAsia="Calibri" w:hAnsi="Tahoma" w:cs="Tahoma"/>
          <w:sz w:val="24"/>
          <w:szCs w:val="24"/>
          <w:lang w:val="es-ES"/>
        </w:rPr>
      </w:pPr>
      <w:r>
        <w:rPr>
          <w:rFonts w:ascii="Tahoma" w:eastAsia="Calibri" w:hAnsi="Tahoma" w:cs="Tahoma"/>
          <w:sz w:val="24"/>
          <w:szCs w:val="24"/>
          <w:lang w:val="es-ES"/>
        </w:rPr>
        <w:t>De nuestra consideración:</w:t>
      </w:r>
    </w:p>
    <w:p w:rsidR="007E1B95" w:rsidRDefault="007E1B95" w:rsidP="007E1B95">
      <w:pPr>
        <w:spacing w:after="200" w:line="276" w:lineRule="auto"/>
        <w:jc w:val="both"/>
        <w:rPr>
          <w:rFonts w:ascii="Tahoma" w:eastAsia="Calibri" w:hAnsi="Tahoma" w:cs="Tahoma"/>
          <w:sz w:val="24"/>
          <w:szCs w:val="24"/>
          <w:lang w:val="es-ES"/>
        </w:rPr>
      </w:pPr>
      <w:r>
        <w:rPr>
          <w:rFonts w:ascii="Tahoma" w:eastAsia="Calibri" w:hAnsi="Tahoma" w:cs="Tahoma"/>
          <w:sz w:val="24"/>
          <w:szCs w:val="24"/>
          <w:lang w:val="es-ES"/>
        </w:rPr>
        <w:tab/>
      </w:r>
      <w:r>
        <w:rPr>
          <w:rFonts w:ascii="Tahoma" w:eastAsia="Calibri" w:hAnsi="Tahoma" w:cs="Tahoma"/>
          <w:sz w:val="24"/>
          <w:szCs w:val="24"/>
          <w:lang w:val="es-ES"/>
        </w:rPr>
        <w:tab/>
      </w:r>
      <w:r>
        <w:rPr>
          <w:rFonts w:ascii="Tahoma" w:eastAsia="Calibri" w:hAnsi="Tahoma" w:cs="Tahoma"/>
          <w:sz w:val="24"/>
          <w:szCs w:val="24"/>
          <w:lang w:val="es-ES"/>
        </w:rPr>
        <w:tab/>
      </w:r>
      <w:r>
        <w:rPr>
          <w:rFonts w:ascii="Tahoma" w:eastAsia="Calibri" w:hAnsi="Tahoma" w:cs="Tahoma"/>
          <w:sz w:val="24"/>
          <w:szCs w:val="24"/>
          <w:lang w:val="es-ES"/>
        </w:rPr>
        <w:tab/>
        <w:t>Remitimos copia del presente proyecto para ser incluída en el orden del día de la próxima sesión.</w:t>
      </w:r>
    </w:p>
    <w:p w:rsidR="007E1B95" w:rsidRDefault="007E1B95" w:rsidP="007E1B95">
      <w:pPr>
        <w:spacing w:after="200" w:line="276" w:lineRule="auto"/>
        <w:jc w:val="both"/>
        <w:rPr>
          <w:rFonts w:ascii="Tahoma" w:eastAsia="Calibri" w:hAnsi="Tahoma" w:cs="Tahoma"/>
          <w:sz w:val="24"/>
          <w:szCs w:val="24"/>
          <w:lang w:val="es-ES"/>
        </w:rPr>
      </w:pPr>
    </w:p>
    <w:p w:rsidR="001254DC" w:rsidRDefault="001254DC" w:rsidP="000C577B">
      <w:pPr>
        <w:spacing w:after="200" w:line="276" w:lineRule="auto"/>
        <w:jc w:val="center"/>
        <w:rPr>
          <w:rFonts w:ascii="Tahoma" w:eastAsia="Calibri" w:hAnsi="Tahoma" w:cs="Tahoma"/>
          <w:noProof/>
          <w:sz w:val="24"/>
          <w:szCs w:val="24"/>
          <w:lang w:eastAsia="es-AR"/>
        </w:rPr>
      </w:pPr>
    </w:p>
    <w:p w:rsidR="001254DC" w:rsidRPr="00D22F43" w:rsidRDefault="00D22F43" w:rsidP="000C577B">
      <w:pPr>
        <w:spacing w:after="200" w:line="276" w:lineRule="auto"/>
        <w:jc w:val="center"/>
        <w:rPr>
          <w:rFonts w:ascii="Tahoma" w:eastAsia="Calibri" w:hAnsi="Tahoma" w:cs="Tahoma"/>
          <w:b/>
          <w:noProof/>
          <w:sz w:val="24"/>
          <w:szCs w:val="24"/>
          <w:lang w:eastAsia="es-AR"/>
        </w:rPr>
      </w:pPr>
      <w:r>
        <w:rPr>
          <w:rFonts w:ascii="Tahoma" w:eastAsia="Calibri" w:hAnsi="Tahoma" w:cs="Tahoma"/>
          <w:b/>
          <w:noProof/>
          <w:sz w:val="24"/>
          <w:szCs w:val="24"/>
          <w:lang w:eastAsia="es-AR"/>
        </w:rPr>
        <w:t>MODIFICACIÓ</w:t>
      </w:r>
      <w:r w:rsidRPr="00D22F43">
        <w:rPr>
          <w:rFonts w:ascii="Tahoma" w:eastAsia="Calibri" w:hAnsi="Tahoma" w:cs="Tahoma"/>
          <w:b/>
          <w:noProof/>
          <w:sz w:val="24"/>
          <w:szCs w:val="24"/>
          <w:lang w:eastAsia="es-AR"/>
        </w:rPr>
        <w:t xml:space="preserve">N DE LA ORDENANZA Numero 5525, </w:t>
      </w:r>
      <w:r>
        <w:rPr>
          <w:rFonts w:ascii="Tahoma" w:eastAsia="Calibri" w:hAnsi="Tahoma" w:cs="Tahoma"/>
          <w:b/>
          <w:noProof/>
          <w:sz w:val="24"/>
          <w:szCs w:val="24"/>
          <w:lang w:eastAsia="es-AR"/>
        </w:rPr>
        <w:t>-</w:t>
      </w:r>
      <w:r w:rsidRPr="00D22F43">
        <w:rPr>
          <w:rFonts w:ascii="Tahoma" w:eastAsia="Calibri" w:hAnsi="Tahoma" w:cs="Tahoma"/>
          <w:b/>
          <w:noProof/>
          <w:sz w:val="24"/>
          <w:szCs w:val="24"/>
          <w:lang w:eastAsia="es-AR"/>
        </w:rPr>
        <w:t xml:space="preserve">TASA DE ALUMBRADO PÚBLICO </w:t>
      </w:r>
      <w:r>
        <w:rPr>
          <w:rFonts w:ascii="Tahoma" w:eastAsia="Calibri" w:hAnsi="Tahoma" w:cs="Tahoma"/>
          <w:b/>
          <w:noProof/>
          <w:sz w:val="24"/>
          <w:szCs w:val="24"/>
          <w:lang w:eastAsia="es-AR"/>
        </w:rPr>
        <w:t>-</w:t>
      </w:r>
    </w:p>
    <w:p w:rsidR="00D22F43" w:rsidRDefault="00D22F43" w:rsidP="000C577B">
      <w:pPr>
        <w:spacing w:after="200" w:line="276" w:lineRule="auto"/>
        <w:jc w:val="center"/>
        <w:rPr>
          <w:rFonts w:ascii="Tahoma" w:eastAsia="Calibri" w:hAnsi="Tahoma" w:cs="Tahoma"/>
          <w:noProof/>
          <w:sz w:val="24"/>
          <w:szCs w:val="24"/>
          <w:lang w:eastAsia="es-AR"/>
        </w:rPr>
      </w:pPr>
    </w:p>
    <w:p w:rsidR="001254DC" w:rsidRPr="001254DC" w:rsidRDefault="001254DC" w:rsidP="000C577B">
      <w:pPr>
        <w:spacing w:after="200" w:line="276" w:lineRule="auto"/>
        <w:jc w:val="center"/>
        <w:rPr>
          <w:rFonts w:ascii="Tahoma" w:eastAsia="Calibri" w:hAnsi="Tahoma" w:cs="Tahoma"/>
          <w:b/>
          <w:noProof/>
          <w:sz w:val="24"/>
          <w:szCs w:val="24"/>
          <w:lang w:eastAsia="es-AR"/>
        </w:rPr>
      </w:pPr>
    </w:p>
    <w:p w:rsidR="001254DC" w:rsidRPr="001254DC" w:rsidRDefault="001254DC" w:rsidP="001254DC">
      <w:pPr>
        <w:spacing w:line="360" w:lineRule="auto"/>
        <w:rPr>
          <w:rFonts w:ascii="Tahoma" w:hAnsi="Tahoma" w:cs="Tahoma"/>
          <w:b/>
          <w:sz w:val="24"/>
          <w:szCs w:val="24"/>
        </w:rPr>
      </w:pPr>
      <w:r w:rsidRPr="001254DC">
        <w:rPr>
          <w:rFonts w:ascii="Tahoma" w:hAnsi="Tahoma" w:cs="Tahoma"/>
          <w:b/>
          <w:sz w:val="24"/>
          <w:szCs w:val="24"/>
        </w:rPr>
        <w:t>Visto:</w:t>
      </w:r>
    </w:p>
    <w:p w:rsidR="001254DC" w:rsidRPr="001254DC" w:rsidRDefault="001254DC" w:rsidP="001254DC">
      <w:pPr>
        <w:spacing w:line="360" w:lineRule="auto"/>
        <w:rPr>
          <w:rFonts w:ascii="Tahoma" w:hAnsi="Tahoma" w:cs="Tahoma"/>
          <w:sz w:val="24"/>
          <w:szCs w:val="24"/>
        </w:rPr>
      </w:pPr>
      <w:r>
        <w:rPr>
          <w:rFonts w:ascii="Tahoma" w:hAnsi="Tahoma" w:cs="Tahoma"/>
          <w:sz w:val="24"/>
          <w:szCs w:val="24"/>
        </w:rPr>
        <w:t xml:space="preserve">          </w:t>
      </w:r>
      <w:r w:rsidRPr="001254DC">
        <w:rPr>
          <w:rFonts w:ascii="Tahoma" w:hAnsi="Tahoma" w:cs="Tahoma"/>
          <w:sz w:val="24"/>
          <w:szCs w:val="24"/>
        </w:rPr>
        <w:t xml:space="preserve">La Ordenanza 5525; </w:t>
      </w:r>
    </w:p>
    <w:p w:rsidR="001254DC" w:rsidRPr="001254DC" w:rsidRDefault="001254DC" w:rsidP="001254DC">
      <w:pPr>
        <w:spacing w:line="360" w:lineRule="auto"/>
        <w:rPr>
          <w:rFonts w:ascii="Tahoma" w:hAnsi="Tahoma" w:cs="Tahoma"/>
          <w:b/>
          <w:sz w:val="24"/>
          <w:szCs w:val="24"/>
        </w:rPr>
      </w:pPr>
      <w:r w:rsidRPr="001254DC">
        <w:rPr>
          <w:rFonts w:ascii="Tahoma" w:hAnsi="Tahoma" w:cs="Tahoma"/>
          <w:b/>
          <w:sz w:val="24"/>
          <w:szCs w:val="24"/>
        </w:rPr>
        <w:t>Y Considerando:</w:t>
      </w:r>
    </w:p>
    <w:p w:rsidR="001254DC" w:rsidRPr="001254DC" w:rsidRDefault="001254DC" w:rsidP="00D22F43">
      <w:pPr>
        <w:spacing w:line="360" w:lineRule="auto"/>
        <w:jc w:val="both"/>
        <w:rPr>
          <w:rFonts w:ascii="Tahoma" w:hAnsi="Tahoma" w:cs="Tahoma"/>
          <w:sz w:val="24"/>
          <w:szCs w:val="24"/>
        </w:rPr>
      </w:pPr>
      <w:r>
        <w:rPr>
          <w:rFonts w:ascii="Tahoma" w:hAnsi="Tahoma" w:cs="Tahoma"/>
          <w:sz w:val="24"/>
          <w:szCs w:val="24"/>
        </w:rPr>
        <w:t xml:space="preserve">          Que, </w:t>
      </w:r>
      <w:r w:rsidRPr="001254DC">
        <w:rPr>
          <w:rFonts w:ascii="Tahoma" w:hAnsi="Tahoma" w:cs="Tahoma"/>
          <w:sz w:val="24"/>
          <w:szCs w:val="24"/>
        </w:rPr>
        <w:t>ante la variación de las condiciones económicas vigentes en el país, es necesario reformular los valores de las tasas municipales;</w:t>
      </w:r>
    </w:p>
    <w:p w:rsidR="001254DC" w:rsidRPr="001254DC" w:rsidRDefault="001254DC" w:rsidP="00D22F43">
      <w:pPr>
        <w:spacing w:line="360" w:lineRule="auto"/>
        <w:jc w:val="both"/>
        <w:rPr>
          <w:rFonts w:ascii="Tahoma" w:hAnsi="Tahoma" w:cs="Tahoma"/>
          <w:sz w:val="24"/>
          <w:szCs w:val="24"/>
        </w:rPr>
      </w:pPr>
      <w:r>
        <w:rPr>
          <w:rFonts w:ascii="Tahoma" w:hAnsi="Tahoma" w:cs="Tahoma"/>
          <w:sz w:val="24"/>
          <w:szCs w:val="24"/>
        </w:rPr>
        <w:t xml:space="preserve">          Que, </w:t>
      </w:r>
      <w:r w:rsidRPr="001254DC">
        <w:rPr>
          <w:rFonts w:ascii="Tahoma" w:hAnsi="Tahoma" w:cs="Tahoma"/>
          <w:sz w:val="24"/>
          <w:szCs w:val="24"/>
        </w:rPr>
        <w:t>particularmente, la adecuación de tarifas eléctricas torna necesaria la adecuación de los tributos municipales que la alcanzan;</w:t>
      </w:r>
    </w:p>
    <w:p w:rsidR="001254DC" w:rsidRPr="001254DC" w:rsidRDefault="001254DC" w:rsidP="00D22F43">
      <w:pPr>
        <w:spacing w:line="360" w:lineRule="auto"/>
        <w:jc w:val="both"/>
        <w:rPr>
          <w:rFonts w:ascii="Tahoma" w:hAnsi="Tahoma" w:cs="Tahoma"/>
          <w:sz w:val="24"/>
          <w:szCs w:val="24"/>
        </w:rPr>
      </w:pPr>
      <w:r>
        <w:rPr>
          <w:rFonts w:ascii="Tahoma" w:hAnsi="Tahoma" w:cs="Tahoma"/>
          <w:sz w:val="24"/>
          <w:szCs w:val="24"/>
        </w:rPr>
        <w:t xml:space="preserve">          </w:t>
      </w:r>
      <w:r w:rsidRPr="001254DC">
        <w:rPr>
          <w:rFonts w:ascii="Tahoma" w:hAnsi="Tahoma" w:cs="Tahoma"/>
          <w:sz w:val="24"/>
          <w:szCs w:val="24"/>
        </w:rPr>
        <w:t>Que si bien el Municipio percibe Tasa por Alumbrado Público y Contribución EDEA; sólo la primera de ellas responde a un tributo regulado por el Municipio;</w:t>
      </w:r>
    </w:p>
    <w:p w:rsidR="001254DC" w:rsidRPr="001254DC" w:rsidRDefault="001254DC" w:rsidP="00D22F43">
      <w:pPr>
        <w:spacing w:line="360" w:lineRule="auto"/>
        <w:jc w:val="both"/>
        <w:rPr>
          <w:rFonts w:ascii="Tahoma" w:hAnsi="Tahoma" w:cs="Tahoma"/>
          <w:sz w:val="24"/>
          <w:szCs w:val="24"/>
        </w:rPr>
      </w:pPr>
      <w:r>
        <w:rPr>
          <w:rFonts w:ascii="Tahoma" w:hAnsi="Tahoma" w:cs="Tahoma"/>
          <w:sz w:val="24"/>
          <w:szCs w:val="24"/>
        </w:rPr>
        <w:t xml:space="preserve">          </w:t>
      </w:r>
      <w:r w:rsidRPr="001254DC">
        <w:rPr>
          <w:rFonts w:ascii="Tahoma" w:hAnsi="Tahoma" w:cs="Tahoma"/>
          <w:sz w:val="24"/>
          <w:szCs w:val="24"/>
        </w:rPr>
        <w:t xml:space="preserve">Que durante el ejercicio 2023, la recaudación de tributos sobre el consumo eléctrico ascendió a $265.390.744,68 (105.226.657 por Tasa de Alumbrado Público, y </w:t>
      </w:r>
      <w:r w:rsidRPr="001254DC">
        <w:rPr>
          <w:rFonts w:ascii="Tahoma" w:hAnsi="Tahoma" w:cs="Tahoma"/>
          <w:sz w:val="24"/>
          <w:szCs w:val="24"/>
        </w:rPr>
        <w:lastRenderedPageBreak/>
        <w:t xml:space="preserve">$160.164.087,68 por Contribución EDEA, ambas tienen impacto en la factura eléctrica por ser el fasto en energía la base imponible); </w:t>
      </w:r>
    </w:p>
    <w:p w:rsidR="001254DC" w:rsidRPr="001254DC" w:rsidRDefault="001254DC" w:rsidP="00D22F43">
      <w:pPr>
        <w:spacing w:line="360" w:lineRule="auto"/>
        <w:jc w:val="both"/>
        <w:rPr>
          <w:rFonts w:ascii="Tahoma" w:hAnsi="Tahoma" w:cs="Tahoma"/>
          <w:sz w:val="24"/>
          <w:szCs w:val="24"/>
        </w:rPr>
      </w:pPr>
      <w:r>
        <w:rPr>
          <w:rFonts w:ascii="Tahoma" w:hAnsi="Tahoma" w:cs="Tahoma"/>
          <w:sz w:val="24"/>
          <w:szCs w:val="24"/>
        </w:rPr>
        <w:t xml:space="preserve">             </w:t>
      </w:r>
      <w:r w:rsidRPr="001254DC">
        <w:rPr>
          <w:rFonts w:ascii="Tahoma" w:hAnsi="Tahoma" w:cs="Tahoma"/>
          <w:sz w:val="24"/>
          <w:szCs w:val="24"/>
        </w:rPr>
        <w:t>Que del lado del gasto, el servicio de Alumbrado Público devengó $182.720.183,03; de los cuales  $78.789.839,99 corresponden a consumo de energía eléctrica (apenas un 43% del costo);</w:t>
      </w:r>
    </w:p>
    <w:p w:rsidR="001254DC" w:rsidRPr="001254DC" w:rsidRDefault="001254DC" w:rsidP="00D22F43">
      <w:pPr>
        <w:spacing w:line="360" w:lineRule="auto"/>
        <w:jc w:val="both"/>
        <w:rPr>
          <w:rFonts w:ascii="Tahoma" w:hAnsi="Tahoma" w:cs="Tahoma"/>
          <w:sz w:val="24"/>
          <w:szCs w:val="24"/>
        </w:rPr>
      </w:pPr>
      <w:r>
        <w:rPr>
          <w:rFonts w:ascii="Tahoma" w:hAnsi="Tahoma" w:cs="Tahoma"/>
          <w:sz w:val="24"/>
          <w:szCs w:val="24"/>
        </w:rPr>
        <w:t xml:space="preserve">            </w:t>
      </w:r>
      <w:r w:rsidRPr="001254DC">
        <w:rPr>
          <w:rFonts w:ascii="Tahoma" w:hAnsi="Tahoma" w:cs="Tahoma"/>
          <w:sz w:val="24"/>
          <w:szCs w:val="24"/>
        </w:rPr>
        <w:t>Que de la comparación de ingresos y gastos, surge que los gravámenes  sobre el consumo de energía eléctrica más que triplica el gasto en energía, generando un excedente financiero;</w:t>
      </w:r>
    </w:p>
    <w:p w:rsidR="001254DC" w:rsidRPr="001254DC" w:rsidRDefault="001254DC" w:rsidP="00D22F43">
      <w:pPr>
        <w:spacing w:line="360" w:lineRule="auto"/>
        <w:jc w:val="both"/>
        <w:rPr>
          <w:rFonts w:ascii="Tahoma" w:hAnsi="Tahoma" w:cs="Tahoma"/>
          <w:sz w:val="24"/>
          <w:szCs w:val="24"/>
        </w:rPr>
      </w:pPr>
      <w:r>
        <w:rPr>
          <w:rFonts w:ascii="Tahoma" w:hAnsi="Tahoma" w:cs="Tahoma"/>
          <w:sz w:val="24"/>
          <w:szCs w:val="24"/>
        </w:rPr>
        <w:t xml:space="preserve">            </w:t>
      </w:r>
      <w:r w:rsidRPr="001254DC">
        <w:rPr>
          <w:rFonts w:ascii="Tahoma" w:hAnsi="Tahoma" w:cs="Tahoma"/>
          <w:sz w:val="24"/>
          <w:szCs w:val="24"/>
        </w:rPr>
        <w:t>Que por otro lado, las recomposiciones tarifarias de energía eléctrica, no alteran la relación entre recursos y gasto en energía, pero si incrementarán el excedente, por lo que existe un margen de reducción de alícuotas sin afectar el financiamiento del servicio;</w:t>
      </w:r>
    </w:p>
    <w:p w:rsidR="001254DC" w:rsidRPr="001254DC" w:rsidRDefault="001254DC" w:rsidP="00D22F43">
      <w:pPr>
        <w:spacing w:line="360" w:lineRule="auto"/>
        <w:jc w:val="both"/>
        <w:rPr>
          <w:rFonts w:ascii="Tahoma" w:hAnsi="Tahoma" w:cs="Tahoma"/>
          <w:sz w:val="24"/>
          <w:szCs w:val="24"/>
        </w:rPr>
      </w:pPr>
      <w:r>
        <w:rPr>
          <w:rFonts w:ascii="Tahoma" w:hAnsi="Tahoma" w:cs="Tahoma"/>
          <w:sz w:val="24"/>
          <w:szCs w:val="24"/>
        </w:rPr>
        <w:t xml:space="preserve">           </w:t>
      </w:r>
      <w:r w:rsidRPr="001254DC">
        <w:rPr>
          <w:rFonts w:ascii="Tahoma" w:hAnsi="Tahoma" w:cs="Tahoma"/>
          <w:sz w:val="24"/>
          <w:szCs w:val="24"/>
        </w:rPr>
        <w:t>Que por gravar el consumo eléctrico la tasa y la contribución mencionada implican una repotenciación de la adecuación tarifaria, afectando a los vecinos en su condición de usuarios de así como también en su rol de contribuyentes;</w:t>
      </w:r>
    </w:p>
    <w:p w:rsidR="001254DC" w:rsidRPr="001254DC" w:rsidRDefault="001254DC" w:rsidP="00D22F43">
      <w:pPr>
        <w:spacing w:line="360" w:lineRule="auto"/>
        <w:jc w:val="both"/>
        <w:rPr>
          <w:rFonts w:ascii="Tahoma" w:hAnsi="Tahoma" w:cs="Tahoma"/>
          <w:sz w:val="24"/>
          <w:szCs w:val="24"/>
        </w:rPr>
      </w:pPr>
      <w:r>
        <w:rPr>
          <w:rFonts w:ascii="Tahoma" w:hAnsi="Tahoma" w:cs="Tahoma"/>
          <w:sz w:val="24"/>
          <w:szCs w:val="24"/>
        </w:rPr>
        <w:t xml:space="preserve">          </w:t>
      </w:r>
      <w:r w:rsidRPr="001254DC">
        <w:rPr>
          <w:rFonts w:ascii="Tahoma" w:hAnsi="Tahoma" w:cs="Tahoma"/>
          <w:sz w:val="24"/>
          <w:szCs w:val="24"/>
        </w:rPr>
        <w:t>Que asimismo el gravamen alcanza a las actividades económicas, por lo que un alivio en el peso contribuiría en la sostenibilidad de las actividades afectadas;</w:t>
      </w:r>
    </w:p>
    <w:p w:rsidR="001254DC" w:rsidRPr="001254DC" w:rsidRDefault="001254DC" w:rsidP="00D22F43">
      <w:pPr>
        <w:spacing w:line="360" w:lineRule="auto"/>
        <w:jc w:val="both"/>
        <w:rPr>
          <w:rFonts w:ascii="Tahoma" w:hAnsi="Tahoma" w:cs="Tahoma"/>
          <w:sz w:val="24"/>
          <w:szCs w:val="24"/>
        </w:rPr>
      </w:pPr>
      <w:r>
        <w:rPr>
          <w:rFonts w:ascii="Tahoma" w:hAnsi="Tahoma" w:cs="Tahoma"/>
          <w:sz w:val="24"/>
          <w:szCs w:val="24"/>
        </w:rPr>
        <w:t xml:space="preserve">          </w:t>
      </w:r>
      <w:r w:rsidRPr="001254DC">
        <w:rPr>
          <w:rFonts w:ascii="Tahoma" w:hAnsi="Tahoma" w:cs="Tahoma"/>
          <w:sz w:val="24"/>
          <w:szCs w:val="24"/>
        </w:rPr>
        <w:t xml:space="preserve">Que la estructura de la tasa penaliza el consumo residencial, con alícuota creciente a mayor </w:t>
      </w:r>
      <w:r>
        <w:rPr>
          <w:rFonts w:ascii="Tahoma" w:hAnsi="Tahoma" w:cs="Tahoma"/>
          <w:sz w:val="24"/>
          <w:szCs w:val="24"/>
        </w:rPr>
        <w:t>consumo, esto no siempre</w:t>
      </w:r>
      <w:r w:rsidRPr="001254DC">
        <w:rPr>
          <w:rFonts w:ascii="Tahoma" w:hAnsi="Tahoma" w:cs="Tahoma"/>
          <w:sz w:val="24"/>
          <w:szCs w:val="24"/>
        </w:rPr>
        <w:t xml:space="preserve"> resulta progresivo ya que por ejemplo, en zonas sin acceso a redes de Gas Natural que sustituyen por artefactos eléctricos (cocina, calefones, termo</w:t>
      </w:r>
      <w:r>
        <w:rPr>
          <w:rFonts w:ascii="Tahoma" w:hAnsi="Tahoma" w:cs="Tahoma"/>
          <w:sz w:val="24"/>
          <w:szCs w:val="24"/>
        </w:rPr>
        <w:t xml:space="preserve"> tanque)</w:t>
      </w:r>
      <w:r w:rsidRPr="001254DC">
        <w:rPr>
          <w:rFonts w:ascii="Tahoma" w:hAnsi="Tahoma" w:cs="Tahoma"/>
          <w:sz w:val="24"/>
          <w:szCs w:val="24"/>
        </w:rPr>
        <w:t xml:space="preserve"> contribuirían en mayor medida que zonas con acceso a todos los servicios, por lo que luce razonable la unificación de alícuotas para los usuarios residenciales; </w:t>
      </w:r>
    </w:p>
    <w:p w:rsidR="001254DC" w:rsidRDefault="001254DC" w:rsidP="00D22F43">
      <w:pPr>
        <w:spacing w:line="360" w:lineRule="auto"/>
        <w:jc w:val="both"/>
        <w:rPr>
          <w:rFonts w:ascii="Tahoma" w:hAnsi="Tahoma" w:cs="Tahoma"/>
          <w:sz w:val="24"/>
          <w:szCs w:val="24"/>
        </w:rPr>
      </w:pPr>
      <w:r>
        <w:rPr>
          <w:rFonts w:ascii="Tahoma" w:hAnsi="Tahoma" w:cs="Tahoma"/>
          <w:sz w:val="24"/>
          <w:szCs w:val="24"/>
        </w:rPr>
        <w:t xml:space="preserve">        </w:t>
      </w:r>
      <w:r w:rsidRPr="001254DC">
        <w:rPr>
          <w:rFonts w:ascii="Tahoma" w:hAnsi="Tahoma" w:cs="Tahoma"/>
          <w:sz w:val="24"/>
          <w:szCs w:val="24"/>
        </w:rPr>
        <w:t>Que en lo que respecta a consumos por sectores productivos, si bien baja la alícuota a medida que sube el consumo, parten de una alícuota muy alta, al punto que los tributos municipales tienen mayor incidencia que el IVA sobre el consumo eléctrico, por lo que resulta imprescindible la reducción del peso sobre la factura como medida aporte a la sostenibilidad de la actividad;</w:t>
      </w:r>
    </w:p>
    <w:p w:rsidR="001254DC" w:rsidRPr="001254DC" w:rsidRDefault="001254DC" w:rsidP="001254DC">
      <w:pPr>
        <w:shd w:val="clear" w:color="auto" w:fill="FFFFFF" w:themeFill="background1"/>
        <w:spacing w:line="360" w:lineRule="auto"/>
        <w:jc w:val="both"/>
        <w:rPr>
          <w:rFonts w:ascii="Tahoma" w:eastAsia="Arial" w:hAnsi="Tahoma" w:cs="Tahoma"/>
          <w:color w:val="000000"/>
          <w:sz w:val="24"/>
        </w:rPr>
      </w:pPr>
      <w:r>
        <w:rPr>
          <w:rFonts w:ascii="Tahoma" w:hAnsi="Tahoma" w:cs="Tahoma"/>
          <w:sz w:val="24"/>
          <w:szCs w:val="24"/>
        </w:rPr>
        <w:lastRenderedPageBreak/>
        <w:t xml:space="preserve">       </w:t>
      </w:r>
      <w:r>
        <w:rPr>
          <w:rFonts w:ascii="Tahoma" w:eastAsia="Arial" w:hAnsi="Tahoma" w:cs="Tahoma"/>
          <w:color w:val="000000"/>
        </w:rPr>
        <w:t xml:space="preserve">     </w:t>
      </w:r>
      <w:r w:rsidRPr="001254DC">
        <w:rPr>
          <w:rFonts w:ascii="Tahoma" w:eastAsia="Arial" w:hAnsi="Tahoma" w:cs="Tahoma"/>
          <w:color w:val="000000"/>
          <w:sz w:val="24"/>
        </w:rPr>
        <w:t>Que, de acuerdo a Ley Orgánica de las Municipalidades, corresponde que el cuerpo solicite tal medida a través de una Comunicación, en los t</w:t>
      </w:r>
      <w:r>
        <w:rPr>
          <w:rFonts w:ascii="Tahoma" w:eastAsia="Arial" w:hAnsi="Tahoma" w:cs="Tahoma"/>
          <w:color w:val="000000"/>
          <w:sz w:val="24"/>
        </w:rPr>
        <w:t xml:space="preserve">érminos del artículo 77 </w:t>
      </w:r>
      <w:r w:rsidRPr="001254DC">
        <w:rPr>
          <w:rFonts w:ascii="Tahoma" w:eastAsia="Arial" w:hAnsi="Tahoma" w:cs="Tahoma"/>
          <w:color w:val="000000"/>
          <w:sz w:val="24"/>
        </w:rPr>
        <w:t>del citado cuerpo legal;</w:t>
      </w:r>
    </w:p>
    <w:p w:rsidR="001254DC" w:rsidRDefault="001254DC" w:rsidP="001254DC">
      <w:pPr>
        <w:spacing w:line="360" w:lineRule="auto"/>
        <w:rPr>
          <w:rFonts w:ascii="Tahoma" w:hAnsi="Tahoma" w:cs="Tahoma"/>
          <w:sz w:val="24"/>
          <w:szCs w:val="24"/>
        </w:rPr>
      </w:pPr>
      <w:r>
        <w:rPr>
          <w:rFonts w:ascii="Tahoma" w:hAnsi="Tahoma" w:cs="Tahoma"/>
          <w:sz w:val="24"/>
          <w:szCs w:val="24"/>
        </w:rPr>
        <w:t xml:space="preserve">         </w:t>
      </w:r>
      <w:r w:rsidRPr="001254DC">
        <w:rPr>
          <w:rFonts w:ascii="Tahoma" w:hAnsi="Tahoma" w:cs="Tahoma"/>
          <w:sz w:val="24"/>
          <w:szCs w:val="24"/>
        </w:rPr>
        <w:t>Por lo expresado se pr</w:t>
      </w:r>
      <w:r>
        <w:rPr>
          <w:rFonts w:ascii="Tahoma" w:hAnsi="Tahoma" w:cs="Tahoma"/>
          <w:sz w:val="24"/>
          <w:szCs w:val="24"/>
        </w:rPr>
        <w:t>esenta el siguiente:</w:t>
      </w:r>
    </w:p>
    <w:p w:rsidR="00D22F43" w:rsidRDefault="00D22F43" w:rsidP="001254DC">
      <w:pPr>
        <w:spacing w:line="360" w:lineRule="auto"/>
        <w:jc w:val="center"/>
        <w:rPr>
          <w:rFonts w:ascii="Tahoma" w:hAnsi="Tahoma" w:cs="Tahoma"/>
          <w:sz w:val="24"/>
          <w:szCs w:val="24"/>
        </w:rPr>
      </w:pPr>
    </w:p>
    <w:p w:rsidR="001254DC" w:rsidRDefault="001254DC" w:rsidP="001254DC">
      <w:pPr>
        <w:spacing w:line="360" w:lineRule="auto"/>
        <w:jc w:val="center"/>
        <w:rPr>
          <w:rFonts w:ascii="Tahoma" w:hAnsi="Tahoma" w:cs="Tahoma"/>
          <w:b/>
          <w:sz w:val="24"/>
          <w:szCs w:val="24"/>
        </w:rPr>
      </w:pPr>
      <w:r w:rsidRPr="001254DC">
        <w:rPr>
          <w:rFonts w:ascii="Tahoma" w:hAnsi="Tahoma" w:cs="Tahoma"/>
          <w:sz w:val="24"/>
          <w:szCs w:val="24"/>
        </w:rPr>
        <w:br/>
      </w:r>
      <w:r>
        <w:rPr>
          <w:rFonts w:ascii="Tahoma" w:hAnsi="Tahoma" w:cs="Tahoma"/>
          <w:b/>
          <w:sz w:val="24"/>
          <w:szCs w:val="24"/>
        </w:rPr>
        <w:t>PROYECTO DE ORDENANZA</w:t>
      </w:r>
    </w:p>
    <w:p w:rsidR="00D22F43" w:rsidRPr="001254DC" w:rsidRDefault="00D22F43" w:rsidP="001254DC">
      <w:pPr>
        <w:spacing w:line="360" w:lineRule="auto"/>
        <w:rPr>
          <w:rFonts w:ascii="Tahoma" w:hAnsi="Tahoma" w:cs="Tahoma"/>
          <w:b/>
          <w:sz w:val="24"/>
          <w:szCs w:val="24"/>
        </w:rPr>
      </w:pPr>
    </w:p>
    <w:p w:rsidR="001254DC" w:rsidRPr="001254DC" w:rsidRDefault="001254DC" w:rsidP="00D22F43">
      <w:pPr>
        <w:spacing w:line="360" w:lineRule="auto"/>
        <w:jc w:val="both"/>
        <w:rPr>
          <w:rFonts w:ascii="Tahoma" w:hAnsi="Tahoma" w:cs="Tahoma"/>
          <w:sz w:val="24"/>
          <w:szCs w:val="24"/>
        </w:rPr>
      </w:pPr>
      <w:r w:rsidRPr="001254DC">
        <w:rPr>
          <w:rFonts w:ascii="Tahoma" w:hAnsi="Tahoma" w:cs="Tahoma"/>
          <w:b/>
          <w:sz w:val="24"/>
          <w:szCs w:val="24"/>
        </w:rPr>
        <w:t>Artículo 1°:</w:t>
      </w:r>
      <w:r w:rsidRPr="001254DC">
        <w:rPr>
          <w:rFonts w:ascii="Tahoma" w:hAnsi="Tahoma" w:cs="Tahoma"/>
          <w:sz w:val="24"/>
          <w:szCs w:val="24"/>
        </w:rPr>
        <w:t xml:space="preserve"> Modifíquese el Artículo 3° del Anexo II de Ordenanza 5525, el que quedará redactado de la siguiente forma:</w:t>
      </w:r>
    </w:p>
    <w:p w:rsidR="001254DC" w:rsidRPr="001254DC" w:rsidRDefault="001254DC" w:rsidP="00D22F43">
      <w:pPr>
        <w:spacing w:line="360" w:lineRule="auto"/>
        <w:jc w:val="both"/>
        <w:rPr>
          <w:rFonts w:ascii="Tahoma" w:hAnsi="Tahoma" w:cs="Tahoma"/>
          <w:sz w:val="24"/>
          <w:szCs w:val="24"/>
        </w:rPr>
      </w:pPr>
      <w:r w:rsidRPr="001254DC">
        <w:rPr>
          <w:rFonts w:ascii="Tahoma" w:hAnsi="Tahoma" w:cs="Tahoma"/>
          <w:b/>
          <w:bCs/>
          <w:sz w:val="24"/>
          <w:szCs w:val="24"/>
        </w:rPr>
        <w:t xml:space="preserve">Artículo 3º: </w:t>
      </w:r>
      <w:r w:rsidRPr="001254DC">
        <w:rPr>
          <w:rFonts w:ascii="Tahoma" w:hAnsi="Tahoma" w:cs="Tahoma"/>
          <w:sz w:val="24"/>
          <w:szCs w:val="24"/>
        </w:rPr>
        <w:t xml:space="preserve">Por los inmuebles con conexión eléctrica se abonará la Tasa conforme lo establecido a continuación, aplicando en cada caso la alícuota que se detalla sobre el monto facturado, neto de carga impositiva.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b/>
          <w:bCs/>
        </w:rPr>
        <w:t xml:space="preserve">Tarifa T1R - Residencial - Residencial Estacional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Residencial </w:t>
      </w:r>
      <w:r w:rsidRPr="001254DC">
        <w:rPr>
          <w:rFonts w:ascii="Tahoma" w:hAnsi="Tahoma" w:cs="Tahoma"/>
          <w:b/>
          <w:bCs/>
        </w:rPr>
        <w:t xml:space="preserve">12%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Consorcios  </w:t>
      </w:r>
      <w:r w:rsidRPr="001254DC">
        <w:rPr>
          <w:rFonts w:ascii="Tahoma" w:hAnsi="Tahoma" w:cs="Tahoma"/>
          <w:b/>
          <w:bCs/>
        </w:rPr>
        <w:t xml:space="preserve">12%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Jubilados </w:t>
      </w:r>
      <w:r w:rsidRPr="001254DC">
        <w:rPr>
          <w:rFonts w:ascii="Tahoma" w:hAnsi="Tahoma" w:cs="Tahoma"/>
          <w:b/>
          <w:bCs/>
        </w:rPr>
        <w:t xml:space="preserve">12%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b/>
          <w:bCs/>
        </w:rPr>
        <w:t xml:space="preserve">Tarifa T1G - Servicios Generales - Servicios Generales Estacionales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Comercial Hasta 1.000 </w:t>
      </w:r>
      <w:proofErr w:type="spellStart"/>
      <w:r w:rsidRPr="001254DC">
        <w:rPr>
          <w:rFonts w:ascii="Tahoma" w:hAnsi="Tahoma" w:cs="Tahoma"/>
        </w:rPr>
        <w:t>Kwm</w:t>
      </w:r>
      <w:proofErr w:type="spellEnd"/>
      <w:r w:rsidRPr="001254DC">
        <w:rPr>
          <w:rFonts w:ascii="Tahoma" w:hAnsi="Tahoma" w:cs="Tahoma"/>
        </w:rPr>
        <w:t xml:space="preserve"> </w:t>
      </w:r>
      <w:r w:rsidRPr="001254DC">
        <w:rPr>
          <w:rFonts w:ascii="Tahoma" w:hAnsi="Tahoma" w:cs="Tahoma"/>
          <w:b/>
          <w:bCs/>
        </w:rPr>
        <w:t>18%</w:t>
      </w:r>
      <w:r w:rsidRPr="001254DC">
        <w:rPr>
          <w:rFonts w:ascii="Tahoma" w:hAnsi="Tahoma" w:cs="Tahoma"/>
          <w:b/>
          <w:bCs/>
        </w:rPr>
        <w:tab/>
      </w:r>
      <w:r w:rsidRPr="001254DC">
        <w:rPr>
          <w:rFonts w:ascii="Tahoma" w:hAnsi="Tahoma" w:cs="Tahoma"/>
        </w:rPr>
        <w:t xml:space="preserve">Más de 1.000 </w:t>
      </w:r>
      <w:proofErr w:type="spellStart"/>
      <w:r w:rsidRPr="001254DC">
        <w:rPr>
          <w:rFonts w:ascii="Tahoma" w:hAnsi="Tahoma" w:cs="Tahoma"/>
        </w:rPr>
        <w:t>Kwh</w:t>
      </w:r>
      <w:proofErr w:type="spellEnd"/>
      <w:r w:rsidRPr="001254DC">
        <w:rPr>
          <w:rFonts w:ascii="Tahoma" w:hAnsi="Tahoma" w:cs="Tahoma"/>
        </w:rPr>
        <w:t xml:space="preserve"> </w:t>
      </w:r>
      <w:r w:rsidRPr="001254DC">
        <w:rPr>
          <w:rFonts w:ascii="Tahoma" w:hAnsi="Tahoma" w:cs="Tahoma"/>
          <w:b/>
          <w:bCs/>
        </w:rPr>
        <w:t xml:space="preserve">9,75%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Industrial Hasta 30.000 </w:t>
      </w:r>
      <w:proofErr w:type="spellStart"/>
      <w:r w:rsidRPr="001254DC">
        <w:rPr>
          <w:rFonts w:ascii="Tahoma" w:hAnsi="Tahoma" w:cs="Tahoma"/>
        </w:rPr>
        <w:t>Kwm</w:t>
      </w:r>
      <w:proofErr w:type="spellEnd"/>
      <w:r w:rsidRPr="001254DC">
        <w:rPr>
          <w:rFonts w:ascii="Tahoma" w:hAnsi="Tahoma" w:cs="Tahoma"/>
        </w:rPr>
        <w:t xml:space="preserve"> </w:t>
      </w:r>
      <w:r w:rsidRPr="001254DC">
        <w:rPr>
          <w:rFonts w:ascii="Tahoma" w:hAnsi="Tahoma" w:cs="Tahoma"/>
          <w:b/>
          <w:bCs/>
        </w:rPr>
        <w:t>9,75%</w:t>
      </w:r>
      <w:r w:rsidRPr="001254DC">
        <w:rPr>
          <w:rFonts w:ascii="Tahoma" w:hAnsi="Tahoma" w:cs="Tahoma"/>
          <w:b/>
          <w:bCs/>
        </w:rPr>
        <w:tab/>
      </w:r>
      <w:r w:rsidRPr="001254DC">
        <w:rPr>
          <w:rFonts w:ascii="Tahoma" w:hAnsi="Tahoma" w:cs="Tahoma"/>
        </w:rPr>
        <w:t xml:space="preserve">Más de 30.000 </w:t>
      </w:r>
      <w:proofErr w:type="spellStart"/>
      <w:r w:rsidRPr="001254DC">
        <w:rPr>
          <w:rFonts w:ascii="Tahoma" w:hAnsi="Tahoma" w:cs="Tahoma"/>
        </w:rPr>
        <w:t>Kwh</w:t>
      </w:r>
      <w:proofErr w:type="spellEnd"/>
      <w:r w:rsidRPr="001254DC">
        <w:rPr>
          <w:rFonts w:ascii="Tahoma" w:hAnsi="Tahoma" w:cs="Tahoma"/>
        </w:rPr>
        <w:t xml:space="preserve"> </w:t>
      </w:r>
      <w:r w:rsidRPr="001254DC">
        <w:rPr>
          <w:rFonts w:ascii="Tahoma" w:hAnsi="Tahoma" w:cs="Tahoma"/>
          <w:b/>
          <w:bCs/>
        </w:rPr>
        <w:t xml:space="preserve">5,25%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Entidades Hasta 1.000 </w:t>
      </w:r>
      <w:proofErr w:type="spellStart"/>
      <w:r w:rsidRPr="001254DC">
        <w:rPr>
          <w:rFonts w:ascii="Tahoma" w:hAnsi="Tahoma" w:cs="Tahoma"/>
        </w:rPr>
        <w:t>Kwm</w:t>
      </w:r>
      <w:proofErr w:type="spellEnd"/>
      <w:r w:rsidRPr="001254DC">
        <w:rPr>
          <w:rFonts w:ascii="Tahoma" w:hAnsi="Tahoma" w:cs="Tahoma"/>
        </w:rPr>
        <w:t xml:space="preserve"> </w:t>
      </w:r>
      <w:r w:rsidRPr="001254DC">
        <w:rPr>
          <w:rFonts w:ascii="Tahoma" w:hAnsi="Tahoma" w:cs="Tahoma"/>
          <w:b/>
          <w:bCs/>
        </w:rPr>
        <w:t>18%</w:t>
      </w:r>
      <w:r w:rsidRPr="001254DC">
        <w:rPr>
          <w:rFonts w:ascii="Tahoma" w:hAnsi="Tahoma" w:cs="Tahoma"/>
          <w:b/>
          <w:bCs/>
        </w:rPr>
        <w:tab/>
      </w:r>
      <w:r w:rsidRPr="001254DC">
        <w:rPr>
          <w:rFonts w:ascii="Tahoma" w:hAnsi="Tahoma" w:cs="Tahoma"/>
        </w:rPr>
        <w:t xml:space="preserve">Más de 1.000 </w:t>
      </w:r>
      <w:proofErr w:type="spellStart"/>
      <w:r w:rsidRPr="001254DC">
        <w:rPr>
          <w:rFonts w:ascii="Tahoma" w:hAnsi="Tahoma" w:cs="Tahoma"/>
        </w:rPr>
        <w:t>Kwh</w:t>
      </w:r>
      <w:proofErr w:type="spellEnd"/>
      <w:r w:rsidRPr="001254DC">
        <w:rPr>
          <w:rFonts w:ascii="Tahoma" w:hAnsi="Tahoma" w:cs="Tahoma"/>
        </w:rPr>
        <w:t xml:space="preserve"> </w:t>
      </w:r>
      <w:r w:rsidRPr="001254DC">
        <w:rPr>
          <w:rFonts w:ascii="Tahoma" w:hAnsi="Tahoma" w:cs="Tahoma"/>
          <w:b/>
          <w:bCs/>
        </w:rPr>
        <w:t xml:space="preserve">9,75%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Oficiales Nacionales Hasta 1.000 </w:t>
      </w:r>
      <w:proofErr w:type="spellStart"/>
      <w:r w:rsidRPr="001254DC">
        <w:rPr>
          <w:rFonts w:ascii="Tahoma" w:hAnsi="Tahoma" w:cs="Tahoma"/>
        </w:rPr>
        <w:t>Kwm</w:t>
      </w:r>
      <w:proofErr w:type="spellEnd"/>
      <w:r w:rsidRPr="001254DC">
        <w:rPr>
          <w:rFonts w:ascii="Tahoma" w:hAnsi="Tahoma" w:cs="Tahoma"/>
        </w:rPr>
        <w:tab/>
      </w:r>
      <w:r w:rsidRPr="001254DC">
        <w:rPr>
          <w:rFonts w:ascii="Tahoma" w:hAnsi="Tahoma" w:cs="Tahoma"/>
          <w:b/>
          <w:bCs/>
        </w:rPr>
        <w:t xml:space="preserve">18% </w:t>
      </w:r>
      <w:r w:rsidRPr="001254DC">
        <w:rPr>
          <w:rFonts w:ascii="Tahoma" w:hAnsi="Tahoma" w:cs="Tahoma"/>
        </w:rPr>
        <w:t xml:space="preserve">Más de 1.000 </w:t>
      </w:r>
      <w:proofErr w:type="spellStart"/>
      <w:r w:rsidRPr="001254DC">
        <w:rPr>
          <w:rFonts w:ascii="Tahoma" w:hAnsi="Tahoma" w:cs="Tahoma"/>
        </w:rPr>
        <w:t>Kwh</w:t>
      </w:r>
      <w:proofErr w:type="spellEnd"/>
      <w:r w:rsidRPr="001254DC">
        <w:rPr>
          <w:rFonts w:ascii="Tahoma" w:hAnsi="Tahoma" w:cs="Tahoma"/>
        </w:rPr>
        <w:t xml:space="preserve"> </w:t>
      </w:r>
      <w:r w:rsidRPr="001254DC">
        <w:rPr>
          <w:rFonts w:ascii="Tahoma" w:hAnsi="Tahoma" w:cs="Tahoma"/>
          <w:b/>
          <w:bCs/>
        </w:rPr>
        <w:t xml:space="preserve">9,75%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Oficiales Provinciales Hasta 1.000 </w:t>
      </w:r>
      <w:proofErr w:type="spellStart"/>
      <w:r w:rsidRPr="001254DC">
        <w:rPr>
          <w:rFonts w:ascii="Tahoma" w:hAnsi="Tahoma" w:cs="Tahoma"/>
        </w:rPr>
        <w:t>Kwm</w:t>
      </w:r>
      <w:proofErr w:type="spellEnd"/>
      <w:r w:rsidRPr="001254DC">
        <w:rPr>
          <w:rFonts w:ascii="Tahoma" w:hAnsi="Tahoma" w:cs="Tahoma"/>
        </w:rPr>
        <w:t xml:space="preserve"> </w:t>
      </w:r>
      <w:r w:rsidRPr="001254DC">
        <w:rPr>
          <w:rFonts w:ascii="Tahoma" w:hAnsi="Tahoma" w:cs="Tahoma"/>
          <w:b/>
          <w:bCs/>
        </w:rPr>
        <w:t>18%</w:t>
      </w:r>
      <w:r w:rsidRPr="001254DC">
        <w:rPr>
          <w:rFonts w:ascii="Tahoma" w:hAnsi="Tahoma" w:cs="Tahoma"/>
          <w:b/>
          <w:bCs/>
        </w:rPr>
        <w:tab/>
      </w:r>
      <w:r w:rsidRPr="001254DC">
        <w:rPr>
          <w:rFonts w:ascii="Tahoma" w:hAnsi="Tahoma" w:cs="Tahoma"/>
        </w:rPr>
        <w:t xml:space="preserve">Más de 1.000 </w:t>
      </w:r>
      <w:proofErr w:type="spellStart"/>
      <w:r w:rsidRPr="001254DC">
        <w:rPr>
          <w:rFonts w:ascii="Tahoma" w:hAnsi="Tahoma" w:cs="Tahoma"/>
        </w:rPr>
        <w:t>Kwh</w:t>
      </w:r>
      <w:proofErr w:type="spellEnd"/>
      <w:r w:rsidRPr="001254DC">
        <w:rPr>
          <w:rFonts w:ascii="Tahoma" w:hAnsi="Tahoma" w:cs="Tahoma"/>
        </w:rPr>
        <w:t xml:space="preserve"> </w:t>
      </w:r>
      <w:r w:rsidRPr="001254DC">
        <w:rPr>
          <w:rFonts w:ascii="Tahoma" w:hAnsi="Tahoma" w:cs="Tahoma"/>
          <w:b/>
          <w:bCs/>
        </w:rPr>
        <w:t xml:space="preserve">9,75%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Oficiales Municipales </w:t>
      </w:r>
      <w:r w:rsidRPr="001254DC">
        <w:rPr>
          <w:rFonts w:ascii="Tahoma" w:hAnsi="Tahoma" w:cs="Tahoma"/>
          <w:b/>
          <w:bCs/>
        </w:rPr>
        <w:t xml:space="preserve">Exentos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b/>
          <w:bCs/>
        </w:rPr>
        <w:t xml:space="preserve">Tarifa T2 - Medianas Demandas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Comercial Hasta 1.000 </w:t>
      </w:r>
      <w:proofErr w:type="spellStart"/>
      <w:r w:rsidRPr="001254DC">
        <w:rPr>
          <w:rFonts w:ascii="Tahoma" w:hAnsi="Tahoma" w:cs="Tahoma"/>
        </w:rPr>
        <w:t>Kwm</w:t>
      </w:r>
      <w:proofErr w:type="spellEnd"/>
      <w:r w:rsidRPr="001254DC">
        <w:rPr>
          <w:rFonts w:ascii="Tahoma" w:hAnsi="Tahoma" w:cs="Tahoma"/>
        </w:rPr>
        <w:t xml:space="preserve"> </w:t>
      </w:r>
      <w:r w:rsidRPr="001254DC">
        <w:rPr>
          <w:rFonts w:ascii="Tahoma" w:hAnsi="Tahoma" w:cs="Tahoma"/>
          <w:b/>
          <w:bCs/>
        </w:rPr>
        <w:t>12%</w:t>
      </w:r>
      <w:r w:rsidRPr="001254DC">
        <w:rPr>
          <w:rFonts w:ascii="Tahoma" w:hAnsi="Tahoma" w:cs="Tahoma"/>
          <w:b/>
          <w:bCs/>
        </w:rPr>
        <w:tab/>
      </w:r>
      <w:r w:rsidRPr="001254DC">
        <w:rPr>
          <w:rFonts w:ascii="Tahoma" w:hAnsi="Tahoma" w:cs="Tahoma"/>
        </w:rPr>
        <w:t xml:space="preserve">Más de 1.000 </w:t>
      </w:r>
      <w:proofErr w:type="spellStart"/>
      <w:r w:rsidRPr="001254DC">
        <w:rPr>
          <w:rFonts w:ascii="Tahoma" w:hAnsi="Tahoma" w:cs="Tahoma"/>
        </w:rPr>
        <w:t>Kwh</w:t>
      </w:r>
      <w:proofErr w:type="spellEnd"/>
      <w:r w:rsidRPr="001254DC">
        <w:rPr>
          <w:rFonts w:ascii="Tahoma" w:hAnsi="Tahoma" w:cs="Tahoma"/>
        </w:rPr>
        <w:t xml:space="preserve"> </w:t>
      </w:r>
      <w:r w:rsidRPr="001254DC">
        <w:rPr>
          <w:rFonts w:ascii="Tahoma" w:hAnsi="Tahoma" w:cs="Tahoma"/>
          <w:b/>
          <w:bCs/>
        </w:rPr>
        <w:t xml:space="preserve">6,5%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Industrial Hasta 30.000 </w:t>
      </w:r>
      <w:proofErr w:type="spellStart"/>
      <w:r w:rsidRPr="001254DC">
        <w:rPr>
          <w:rFonts w:ascii="Tahoma" w:hAnsi="Tahoma" w:cs="Tahoma"/>
        </w:rPr>
        <w:t>Kwm</w:t>
      </w:r>
      <w:proofErr w:type="spellEnd"/>
      <w:r w:rsidRPr="001254DC">
        <w:rPr>
          <w:rFonts w:ascii="Tahoma" w:hAnsi="Tahoma" w:cs="Tahoma"/>
        </w:rPr>
        <w:t xml:space="preserve"> </w:t>
      </w:r>
      <w:r w:rsidRPr="001254DC">
        <w:rPr>
          <w:rFonts w:ascii="Tahoma" w:hAnsi="Tahoma" w:cs="Tahoma"/>
          <w:b/>
          <w:bCs/>
        </w:rPr>
        <w:t>12%</w:t>
      </w:r>
      <w:r w:rsidRPr="001254DC">
        <w:rPr>
          <w:rFonts w:ascii="Tahoma" w:hAnsi="Tahoma" w:cs="Tahoma"/>
          <w:b/>
          <w:bCs/>
        </w:rPr>
        <w:tab/>
      </w:r>
      <w:r w:rsidRPr="001254DC">
        <w:rPr>
          <w:rFonts w:ascii="Tahoma" w:hAnsi="Tahoma" w:cs="Tahoma"/>
        </w:rPr>
        <w:t xml:space="preserve">Más de 30.000 </w:t>
      </w:r>
      <w:proofErr w:type="spellStart"/>
      <w:r w:rsidRPr="001254DC">
        <w:rPr>
          <w:rFonts w:ascii="Tahoma" w:hAnsi="Tahoma" w:cs="Tahoma"/>
        </w:rPr>
        <w:t>Kwh</w:t>
      </w:r>
      <w:proofErr w:type="spellEnd"/>
      <w:r w:rsidRPr="001254DC">
        <w:rPr>
          <w:rFonts w:ascii="Tahoma" w:hAnsi="Tahoma" w:cs="Tahoma"/>
        </w:rPr>
        <w:t xml:space="preserve"> </w:t>
      </w:r>
      <w:r w:rsidRPr="001254DC">
        <w:rPr>
          <w:rFonts w:ascii="Tahoma" w:hAnsi="Tahoma" w:cs="Tahoma"/>
          <w:b/>
          <w:bCs/>
        </w:rPr>
        <w:t xml:space="preserve">6,5%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Entidades Hasta 1.000 </w:t>
      </w:r>
      <w:proofErr w:type="spellStart"/>
      <w:r w:rsidRPr="001254DC">
        <w:rPr>
          <w:rFonts w:ascii="Tahoma" w:hAnsi="Tahoma" w:cs="Tahoma"/>
        </w:rPr>
        <w:t>Kwm</w:t>
      </w:r>
      <w:proofErr w:type="spellEnd"/>
      <w:r w:rsidRPr="001254DC">
        <w:rPr>
          <w:rFonts w:ascii="Tahoma" w:hAnsi="Tahoma" w:cs="Tahoma"/>
        </w:rPr>
        <w:t xml:space="preserve"> </w:t>
      </w:r>
      <w:r w:rsidRPr="001254DC">
        <w:rPr>
          <w:rFonts w:ascii="Tahoma" w:hAnsi="Tahoma" w:cs="Tahoma"/>
          <w:b/>
          <w:bCs/>
        </w:rPr>
        <w:t>12%</w:t>
      </w:r>
      <w:r w:rsidRPr="001254DC">
        <w:rPr>
          <w:rFonts w:ascii="Tahoma" w:hAnsi="Tahoma" w:cs="Tahoma"/>
          <w:b/>
          <w:bCs/>
        </w:rPr>
        <w:tab/>
      </w:r>
      <w:r w:rsidRPr="001254DC">
        <w:rPr>
          <w:rFonts w:ascii="Tahoma" w:hAnsi="Tahoma" w:cs="Tahoma"/>
        </w:rPr>
        <w:t xml:space="preserve">Más de 1.000 </w:t>
      </w:r>
      <w:proofErr w:type="spellStart"/>
      <w:r w:rsidRPr="001254DC">
        <w:rPr>
          <w:rFonts w:ascii="Tahoma" w:hAnsi="Tahoma" w:cs="Tahoma"/>
        </w:rPr>
        <w:t>Kwh</w:t>
      </w:r>
      <w:proofErr w:type="spellEnd"/>
      <w:r w:rsidRPr="001254DC">
        <w:rPr>
          <w:rFonts w:ascii="Tahoma" w:hAnsi="Tahoma" w:cs="Tahoma"/>
        </w:rPr>
        <w:t xml:space="preserve"> </w:t>
      </w:r>
      <w:r w:rsidRPr="001254DC">
        <w:rPr>
          <w:rFonts w:ascii="Tahoma" w:hAnsi="Tahoma" w:cs="Tahoma"/>
          <w:b/>
          <w:bCs/>
        </w:rPr>
        <w:t xml:space="preserve">6,5%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lastRenderedPageBreak/>
        <w:t xml:space="preserve">Oficiales Nacionales Hasta 1.000 </w:t>
      </w:r>
      <w:proofErr w:type="spellStart"/>
      <w:r w:rsidRPr="001254DC">
        <w:rPr>
          <w:rFonts w:ascii="Tahoma" w:hAnsi="Tahoma" w:cs="Tahoma"/>
        </w:rPr>
        <w:t>Kwm</w:t>
      </w:r>
      <w:proofErr w:type="spellEnd"/>
      <w:r w:rsidRPr="001254DC">
        <w:rPr>
          <w:rFonts w:ascii="Tahoma" w:hAnsi="Tahoma" w:cs="Tahoma"/>
        </w:rPr>
        <w:t xml:space="preserve"> </w:t>
      </w:r>
      <w:r w:rsidRPr="001254DC">
        <w:rPr>
          <w:rFonts w:ascii="Tahoma" w:hAnsi="Tahoma" w:cs="Tahoma"/>
          <w:b/>
          <w:bCs/>
        </w:rPr>
        <w:t>12%</w:t>
      </w:r>
      <w:r w:rsidRPr="001254DC">
        <w:rPr>
          <w:rFonts w:ascii="Tahoma" w:hAnsi="Tahoma" w:cs="Tahoma"/>
          <w:b/>
          <w:bCs/>
        </w:rPr>
        <w:tab/>
      </w:r>
      <w:r w:rsidRPr="001254DC">
        <w:rPr>
          <w:rFonts w:ascii="Tahoma" w:hAnsi="Tahoma" w:cs="Tahoma"/>
        </w:rPr>
        <w:t xml:space="preserve">Más de 1.000 </w:t>
      </w:r>
      <w:proofErr w:type="spellStart"/>
      <w:r w:rsidRPr="001254DC">
        <w:rPr>
          <w:rFonts w:ascii="Tahoma" w:hAnsi="Tahoma" w:cs="Tahoma"/>
        </w:rPr>
        <w:t>Kwh</w:t>
      </w:r>
      <w:proofErr w:type="spellEnd"/>
      <w:r w:rsidRPr="001254DC">
        <w:rPr>
          <w:rFonts w:ascii="Tahoma" w:hAnsi="Tahoma" w:cs="Tahoma"/>
        </w:rPr>
        <w:t xml:space="preserve"> </w:t>
      </w:r>
      <w:r w:rsidRPr="001254DC">
        <w:rPr>
          <w:rFonts w:ascii="Tahoma" w:hAnsi="Tahoma" w:cs="Tahoma"/>
          <w:b/>
          <w:bCs/>
        </w:rPr>
        <w:t xml:space="preserve">6,5%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Oficiales Provinciales Hasta 1.000 </w:t>
      </w:r>
      <w:proofErr w:type="spellStart"/>
      <w:r w:rsidRPr="001254DC">
        <w:rPr>
          <w:rFonts w:ascii="Tahoma" w:hAnsi="Tahoma" w:cs="Tahoma"/>
        </w:rPr>
        <w:t>Kwm</w:t>
      </w:r>
      <w:proofErr w:type="spellEnd"/>
      <w:r w:rsidRPr="001254DC">
        <w:rPr>
          <w:rFonts w:ascii="Tahoma" w:hAnsi="Tahoma" w:cs="Tahoma"/>
        </w:rPr>
        <w:t xml:space="preserve"> </w:t>
      </w:r>
      <w:r w:rsidRPr="001254DC">
        <w:rPr>
          <w:rFonts w:ascii="Tahoma" w:hAnsi="Tahoma" w:cs="Tahoma"/>
          <w:b/>
          <w:bCs/>
        </w:rPr>
        <w:t>12%</w:t>
      </w:r>
      <w:r w:rsidRPr="001254DC">
        <w:rPr>
          <w:rFonts w:ascii="Tahoma" w:hAnsi="Tahoma" w:cs="Tahoma"/>
          <w:b/>
          <w:bCs/>
        </w:rPr>
        <w:tab/>
      </w:r>
      <w:r w:rsidRPr="001254DC">
        <w:rPr>
          <w:rFonts w:ascii="Tahoma" w:hAnsi="Tahoma" w:cs="Tahoma"/>
        </w:rPr>
        <w:t xml:space="preserve">Más de 1.000 </w:t>
      </w:r>
      <w:proofErr w:type="spellStart"/>
      <w:r w:rsidRPr="001254DC">
        <w:rPr>
          <w:rFonts w:ascii="Tahoma" w:hAnsi="Tahoma" w:cs="Tahoma"/>
        </w:rPr>
        <w:t>Kwh</w:t>
      </w:r>
      <w:proofErr w:type="spellEnd"/>
      <w:r w:rsidRPr="001254DC">
        <w:rPr>
          <w:rFonts w:ascii="Tahoma" w:hAnsi="Tahoma" w:cs="Tahoma"/>
        </w:rPr>
        <w:t xml:space="preserve"> </w:t>
      </w:r>
      <w:r w:rsidRPr="001254DC">
        <w:rPr>
          <w:rFonts w:ascii="Tahoma" w:hAnsi="Tahoma" w:cs="Tahoma"/>
          <w:b/>
          <w:bCs/>
        </w:rPr>
        <w:t xml:space="preserve">6,5%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Oficiales Municipales </w:t>
      </w:r>
      <w:r w:rsidRPr="001254DC">
        <w:rPr>
          <w:rFonts w:ascii="Tahoma" w:hAnsi="Tahoma" w:cs="Tahoma"/>
          <w:b/>
          <w:bCs/>
        </w:rPr>
        <w:t xml:space="preserve">Exentos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b/>
          <w:bCs/>
        </w:rPr>
        <w:t xml:space="preserve">Tarifa T3 - Grandes Demandas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Comercial Hasta 1.000 </w:t>
      </w:r>
      <w:proofErr w:type="spellStart"/>
      <w:r w:rsidRPr="001254DC">
        <w:rPr>
          <w:rFonts w:ascii="Tahoma" w:hAnsi="Tahoma" w:cs="Tahoma"/>
        </w:rPr>
        <w:t>Kwm</w:t>
      </w:r>
      <w:proofErr w:type="spellEnd"/>
      <w:r w:rsidRPr="001254DC">
        <w:rPr>
          <w:rFonts w:ascii="Tahoma" w:hAnsi="Tahoma" w:cs="Tahoma"/>
        </w:rPr>
        <w:t xml:space="preserve"> </w:t>
      </w:r>
      <w:r w:rsidRPr="001254DC">
        <w:rPr>
          <w:rFonts w:ascii="Tahoma" w:hAnsi="Tahoma" w:cs="Tahoma"/>
          <w:b/>
          <w:bCs/>
        </w:rPr>
        <w:t>12%</w:t>
      </w:r>
      <w:r w:rsidRPr="001254DC">
        <w:rPr>
          <w:rFonts w:ascii="Tahoma" w:hAnsi="Tahoma" w:cs="Tahoma"/>
          <w:b/>
          <w:bCs/>
        </w:rPr>
        <w:tab/>
      </w:r>
      <w:r w:rsidRPr="001254DC">
        <w:rPr>
          <w:rFonts w:ascii="Tahoma" w:hAnsi="Tahoma" w:cs="Tahoma"/>
        </w:rPr>
        <w:t xml:space="preserve">Más de 1.000 </w:t>
      </w:r>
      <w:proofErr w:type="spellStart"/>
      <w:r w:rsidRPr="001254DC">
        <w:rPr>
          <w:rFonts w:ascii="Tahoma" w:hAnsi="Tahoma" w:cs="Tahoma"/>
        </w:rPr>
        <w:t>Kwh</w:t>
      </w:r>
      <w:proofErr w:type="spellEnd"/>
      <w:r w:rsidRPr="001254DC">
        <w:rPr>
          <w:rFonts w:ascii="Tahoma" w:hAnsi="Tahoma" w:cs="Tahoma"/>
        </w:rPr>
        <w:t xml:space="preserve"> </w:t>
      </w:r>
      <w:r w:rsidRPr="001254DC">
        <w:rPr>
          <w:rFonts w:ascii="Tahoma" w:hAnsi="Tahoma" w:cs="Tahoma"/>
          <w:b/>
          <w:bCs/>
        </w:rPr>
        <w:t xml:space="preserve">6,5%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Industrial Hasta 30.000 </w:t>
      </w:r>
      <w:proofErr w:type="spellStart"/>
      <w:r w:rsidRPr="001254DC">
        <w:rPr>
          <w:rFonts w:ascii="Tahoma" w:hAnsi="Tahoma" w:cs="Tahoma"/>
        </w:rPr>
        <w:t>Kwm</w:t>
      </w:r>
      <w:proofErr w:type="spellEnd"/>
      <w:r w:rsidRPr="001254DC">
        <w:rPr>
          <w:rFonts w:ascii="Tahoma" w:hAnsi="Tahoma" w:cs="Tahoma"/>
        </w:rPr>
        <w:t xml:space="preserve"> </w:t>
      </w:r>
      <w:r w:rsidRPr="001254DC">
        <w:rPr>
          <w:rFonts w:ascii="Tahoma" w:hAnsi="Tahoma" w:cs="Tahoma"/>
          <w:b/>
          <w:bCs/>
        </w:rPr>
        <w:t>6,5%</w:t>
      </w:r>
      <w:r w:rsidRPr="001254DC">
        <w:rPr>
          <w:rFonts w:ascii="Tahoma" w:hAnsi="Tahoma" w:cs="Tahoma"/>
          <w:b/>
          <w:bCs/>
        </w:rPr>
        <w:tab/>
      </w:r>
      <w:r w:rsidRPr="001254DC">
        <w:rPr>
          <w:rFonts w:ascii="Tahoma" w:hAnsi="Tahoma" w:cs="Tahoma"/>
        </w:rPr>
        <w:t xml:space="preserve">Más de 30.000 </w:t>
      </w:r>
      <w:proofErr w:type="spellStart"/>
      <w:r w:rsidRPr="001254DC">
        <w:rPr>
          <w:rFonts w:ascii="Tahoma" w:hAnsi="Tahoma" w:cs="Tahoma"/>
        </w:rPr>
        <w:t>Kwh</w:t>
      </w:r>
      <w:proofErr w:type="spellEnd"/>
      <w:r w:rsidRPr="001254DC">
        <w:rPr>
          <w:rFonts w:ascii="Tahoma" w:hAnsi="Tahoma" w:cs="Tahoma"/>
        </w:rPr>
        <w:t xml:space="preserve"> </w:t>
      </w:r>
      <w:r w:rsidRPr="001254DC">
        <w:rPr>
          <w:rFonts w:ascii="Tahoma" w:hAnsi="Tahoma" w:cs="Tahoma"/>
          <w:b/>
          <w:bCs/>
        </w:rPr>
        <w:t xml:space="preserve">5%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Entidades Hasta 1.000 </w:t>
      </w:r>
      <w:proofErr w:type="spellStart"/>
      <w:r w:rsidRPr="001254DC">
        <w:rPr>
          <w:rFonts w:ascii="Tahoma" w:hAnsi="Tahoma" w:cs="Tahoma"/>
        </w:rPr>
        <w:t>Kwm</w:t>
      </w:r>
      <w:proofErr w:type="spellEnd"/>
      <w:r w:rsidRPr="001254DC">
        <w:rPr>
          <w:rFonts w:ascii="Tahoma" w:hAnsi="Tahoma" w:cs="Tahoma"/>
        </w:rPr>
        <w:t xml:space="preserve"> </w:t>
      </w:r>
      <w:r w:rsidRPr="001254DC">
        <w:rPr>
          <w:rFonts w:ascii="Tahoma" w:hAnsi="Tahoma" w:cs="Tahoma"/>
          <w:b/>
          <w:bCs/>
        </w:rPr>
        <w:t>12%</w:t>
      </w:r>
      <w:r w:rsidRPr="001254DC">
        <w:rPr>
          <w:rFonts w:ascii="Tahoma" w:hAnsi="Tahoma" w:cs="Tahoma"/>
          <w:b/>
          <w:bCs/>
        </w:rPr>
        <w:tab/>
      </w:r>
      <w:r w:rsidRPr="001254DC">
        <w:rPr>
          <w:rFonts w:ascii="Tahoma" w:hAnsi="Tahoma" w:cs="Tahoma"/>
        </w:rPr>
        <w:t xml:space="preserve">Más de 1.000 </w:t>
      </w:r>
      <w:proofErr w:type="spellStart"/>
      <w:r w:rsidRPr="001254DC">
        <w:rPr>
          <w:rFonts w:ascii="Tahoma" w:hAnsi="Tahoma" w:cs="Tahoma"/>
        </w:rPr>
        <w:t>Kwh</w:t>
      </w:r>
      <w:proofErr w:type="spellEnd"/>
      <w:r w:rsidRPr="001254DC">
        <w:rPr>
          <w:rFonts w:ascii="Tahoma" w:hAnsi="Tahoma" w:cs="Tahoma"/>
        </w:rPr>
        <w:t xml:space="preserve"> </w:t>
      </w:r>
      <w:r w:rsidRPr="001254DC">
        <w:rPr>
          <w:rFonts w:ascii="Tahoma" w:hAnsi="Tahoma" w:cs="Tahoma"/>
          <w:b/>
          <w:bCs/>
        </w:rPr>
        <w:t xml:space="preserve">6,5%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Oficiales Nacionales Hasta 1.000 </w:t>
      </w:r>
      <w:proofErr w:type="spellStart"/>
      <w:r w:rsidRPr="001254DC">
        <w:rPr>
          <w:rFonts w:ascii="Tahoma" w:hAnsi="Tahoma" w:cs="Tahoma"/>
        </w:rPr>
        <w:t>Kwm</w:t>
      </w:r>
      <w:proofErr w:type="spellEnd"/>
      <w:r w:rsidRPr="001254DC">
        <w:rPr>
          <w:rFonts w:ascii="Tahoma" w:hAnsi="Tahoma" w:cs="Tahoma"/>
        </w:rPr>
        <w:t xml:space="preserve"> </w:t>
      </w:r>
      <w:r w:rsidRPr="001254DC">
        <w:rPr>
          <w:rFonts w:ascii="Tahoma" w:hAnsi="Tahoma" w:cs="Tahoma"/>
          <w:b/>
          <w:bCs/>
        </w:rPr>
        <w:t>12%</w:t>
      </w:r>
      <w:r w:rsidRPr="001254DC">
        <w:rPr>
          <w:rFonts w:ascii="Tahoma" w:hAnsi="Tahoma" w:cs="Tahoma"/>
          <w:b/>
          <w:bCs/>
        </w:rPr>
        <w:tab/>
      </w:r>
      <w:r w:rsidRPr="001254DC">
        <w:rPr>
          <w:rFonts w:ascii="Tahoma" w:hAnsi="Tahoma" w:cs="Tahoma"/>
        </w:rPr>
        <w:t xml:space="preserve">Más de 1.000 </w:t>
      </w:r>
      <w:proofErr w:type="spellStart"/>
      <w:r w:rsidRPr="001254DC">
        <w:rPr>
          <w:rFonts w:ascii="Tahoma" w:hAnsi="Tahoma" w:cs="Tahoma"/>
        </w:rPr>
        <w:t>Kwh</w:t>
      </w:r>
      <w:proofErr w:type="spellEnd"/>
      <w:r w:rsidRPr="001254DC">
        <w:rPr>
          <w:rFonts w:ascii="Tahoma" w:hAnsi="Tahoma" w:cs="Tahoma"/>
        </w:rPr>
        <w:t xml:space="preserve"> </w:t>
      </w:r>
      <w:r w:rsidRPr="001254DC">
        <w:rPr>
          <w:rFonts w:ascii="Tahoma" w:hAnsi="Tahoma" w:cs="Tahoma"/>
          <w:b/>
          <w:bCs/>
        </w:rPr>
        <w:t xml:space="preserve">6,5%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 xml:space="preserve">Oficiales Provinciales Hasta 1.000 </w:t>
      </w:r>
      <w:proofErr w:type="spellStart"/>
      <w:r w:rsidRPr="001254DC">
        <w:rPr>
          <w:rFonts w:ascii="Tahoma" w:hAnsi="Tahoma" w:cs="Tahoma"/>
        </w:rPr>
        <w:t>Kwm</w:t>
      </w:r>
      <w:proofErr w:type="spellEnd"/>
      <w:r w:rsidRPr="001254DC">
        <w:rPr>
          <w:rFonts w:ascii="Tahoma" w:hAnsi="Tahoma" w:cs="Tahoma"/>
        </w:rPr>
        <w:t xml:space="preserve"> </w:t>
      </w:r>
      <w:r w:rsidRPr="001254DC">
        <w:rPr>
          <w:rFonts w:ascii="Tahoma" w:hAnsi="Tahoma" w:cs="Tahoma"/>
          <w:b/>
          <w:bCs/>
        </w:rPr>
        <w:t>12%</w:t>
      </w:r>
      <w:r w:rsidRPr="001254DC">
        <w:rPr>
          <w:rFonts w:ascii="Tahoma" w:hAnsi="Tahoma" w:cs="Tahoma"/>
          <w:b/>
          <w:bCs/>
        </w:rPr>
        <w:tab/>
      </w:r>
      <w:r w:rsidRPr="001254DC">
        <w:rPr>
          <w:rFonts w:ascii="Tahoma" w:hAnsi="Tahoma" w:cs="Tahoma"/>
        </w:rPr>
        <w:t xml:space="preserve">Más de 1.000 </w:t>
      </w:r>
      <w:proofErr w:type="spellStart"/>
      <w:r w:rsidRPr="001254DC">
        <w:rPr>
          <w:rFonts w:ascii="Tahoma" w:hAnsi="Tahoma" w:cs="Tahoma"/>
        </w:rPr>
        <w:t>Kwh</w:t>
      </w:r>
      <w:proofErr w:type="spellEnd"/>
      <w:r w:rsidRPr="001254DC">
        <w:rPr>
          <w:rFonts w:ascii="Tahoma" w:hAnsi="Tahoma" w:cs="Tahoma"/>
        </w:rPr>
        <w:t xml:space="preserve"> </w:t>
      </w:r>
      <w:r w:rsidRPr="001254DC">
        <w:rPr>
          <w:rFonts w:ascii="Tahoma" w:hAnsi="Tahoma" w:cs="Tahoma"/>
          <w:b/>
          <w:bCs/>
        </w:rPr>
        <w:t xml:space="preserve">6,5% </w:t>
      </w:r>
    </w:p>
    <w:p w:rsidR="001254DC" w:rsidRPr="001254DC" w:rsidRDefault="001254DC" w:rsidP="00D22F43">
      <w:pPr>
        <w:pStyle w:val="Default"/>
        <w:spacing w:line="360" w:lineRule="auto"/>
        <w:jc w:val="both"/>
        <w:rPr>
          <w:rFonts w:ascii="Tahoma" w:hAnsi="Tahoma" w:cs="Tahoma"/>
          <w:b/>
          <w:bCs/>
        </w:rPr>
      </w:pPr>
      <w:r w:rsidRPr="001254DC">
        <w:rPr>
          <w:rFonts w:ascii="Tahoma" w:hAnsi="Tahoma" w:cs="Tahoma"/>
        </w:rPr>
        <w:t xml:space="preserve">Oficiales Municipales </w:t>
      </w:r>
      <w:r w:rsidRPr="001254DC">
        <w:rPr>
          <w:rFonts w:ascii="Tahoma" w:hAnsi="Tahoma" w:cs="Tahoma"/>
          <w:b/>
          <w:bCs/>
        </w:rPr>
        <w:t xml:space="preserve">Exentos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b/>
          <w:bCs/>
        </w:rPr>
        <w:t xml:space="preserve">Tarifa T4 - Rurales </w:t>
      </w:r>
    </w:p>
    <w:p w:rsidR="001254DC" w:rsidRPr="001254DC" w:rsidRDefault="001254DC" w:rsidP="00D22F43">
      <w:pPr>
        <w:pStyle w:val="Default"/>
        <w:spacing w:line="360" w:lineRule="auto"/>
        <w:jc w:val="both"/>
        <w:rPr>
          <w:rFonts w:ascii="Tahoma" w:hAnsi="Tahoma" w:cs="Tahoma"/>
        </w:rPr>
      </w:pPr>
      <w:r w:rsidRPr="001254DC">
        <w:rPr>
          <w:rFonts w:ascii="Tahoma" w:hAnsi="Tahoma" w:cs="Tahoma"/>
        </w:rPr>
        <w:t>Demandas rurales 5,25%”</w:t>
      </w:r>
    </w:p>
    <w:p w:rsidR="001254DC" w:rsidRPr="001254DC" w:rsidRDefault="001254DC" w:rsidP="00D22F43">
      <w:pPr>
        <w:pStyle w:val="Default"/>
        <w:spacing w:line="360" w:lineRule="auto"/>
        <w:jc w:val="both"/>
        <w:rPr>
          <w:rFonts w:ascii="Tahoma" w:hAnsi="Tahoma" w:cs="Tahoma"/>
        </w:rPr>
      </w:pPr>
    </w:p>
    <w:p w:rsidR="001254DC" w:rsidRPr="001254DC" w:rsidRDefault="001254DC" w:rsidP="00D22F43">
      <w:pPr>
        <w:spacing w:line="360" w:lineRule="auto"/>
        <w:jc w:val="both"/>
        <w:rPr>
          <w:rFonts w:ascii="Tahoma" w:hAnsi="Tahoma" w:cs="Tahoma"/>
          <w:sz w:val="24"/>
          <w:szCs w:val="24"/>
        </w:rPr>
      </w:pPr>
      <w:r w:rsidRPr="001254DC">
        <w:rPr>
          <w:rFonts w:ascii="Tahoma" w:hAnsi="Tahoma" w:cs="Tahoma"/>
          <w:b/>
          <w:sz w:val="24"/>
          <w:szCs w:val="24"/>
        </w:rPr>
        <w:t xml:space="preserve">Artículo 2°: </w:t>
      </w:r>
      <w:r w:rsidRPr="001254DC">
        <w:rPr>
          <w:rFonts w:ascii="Tahoma" w:hAnsi="Tahoma" w:cs="Tahoma"/>
          <w:sz w:val="24"/>
          <w:szCs w:val="24"/>
        </w:rPr>
        <w:t>De forma.</w:t>
      </w:r>
    </w:p>
    <w:p w:rsidR="004F542E" w:rsidRPr="000C577B" w:rsidRDefault="007A24EF" w:rsidP="000C577B">
      <w:pPr>
        <w:spacing w:after="200" w:line="276" w:lineRule="auto"/>
        <w:jc w:val="center"/>
        <w:rPr>
          <w:rFonts w:ascii="Tahoma" w:eastAsia="Calibri" w:hAnsi="Tahoma" w:cs="Tahoma"/>
          <w:sz w:val="24"/>
          <w:szCs w:val="24"/>
          <w:lang w:val="es-ES"/>
        </w:rPr>
      </w:pPr>
      <w:r>
        <w:rPr>
          <w:rFonts w:ascii="Tahoma" w:eastAsia="Calibri" w:hAnsi="Tahoma" w:cs="Tahoma"/>
          <w:noProof/>
          <w:sz w:val="24"/>
          <w:szCs w:val="24"/>
          <w:lang w:eastAsia="es-AR"/>
        </w:rPr>
        <w:t xml:space="preserve">         </w:t>
      </w:r>
      <w:r w:rsidR="000C577B">
        <w:rPr>
          <w:rFonts w:ascii="Tahoma" w:eastAsia="Calibri" w:hAnsi="Tahoma" w:cs="Tahoma"/>
          <w:noProof/>
          <w:sz w:val="24"/>
          <w:szCs w:val="24"/>
          <w:lang w:eastAsia="es-AR"/>
        </w:rPr>
        <w:t xml:space="preserve">       </w:t>
      </w:r>
      <w:r>
        <w:rPr>
          <w:rFonts w:ascii="Tahoma" w:eastAsia="Calibri" w:hAnsi="Tahoma" w:cs="Tahoma"/>
          <w:noProof/>
          <w:sz w:val="24"/>
          <w:szCs w:val="24"/>
          <w:lang w:eastAsia="es-AR"/>
        </w:rPr>
        <w:t xml:space="preserve">       </w:t>
      </w:r>
    </w:p>
    <w:sectPr w:rsidR="004F542E" w:rsidRPr="000C577B" w:rsidSect="00240A3B">
      <w:headerReference w:type="default" r:id="rId7"/>
      <w:pgSz w:w="11906" w:h="16838"/>
      <w:pgMar w:top="1417" w:right="1274"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DED" w:rsidRDefault="00CD7DED" w:rsidP="005A5EB4">
      <w:pPr>
        <w:spacing w:after="0" w:line="240" w:lineRule="auto"/>
      </w:pPr>
      <w:r>
        <w:separator/>
      </w:r>
    </w:p>
  </w:endnote>
  <w:endnote w:type="continuationSeparator" w:id="0">
    <w:p w:rsidR="00CD7DED" w:rsidRDefault="00CD7DED" w:rsidP="005A5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DED" w:rsidRDefault="00CD7DED" w:rsidP="005A5EB4">
      <w:pPr>
        <w:spacing w:after="0" w:line="240" w:lineRule="auto"/>
      </w:pPr>
      <w:r>
        <w:separator/>
      </w:r>
    </w:p>
  </w:footnote>
  <w:footnote w:type="continuationSeparator" w:id="0">
    <w:p w:rsidR="00CD7DED" w:rsidRDefault="00CD7DED" w:rsidP="005A5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A3B" w:rsidRPr="00240A3B" w:rsidRDefault="00240A3B" w:rsidP="00240A3B">
    <w:pPr>
      <w:spacing w:after="0" w:line="240" w:lineRule="auto"/>
      <w:jc w:val="center"/>
      <w:rPr>
        <w:rFonts w:ascii="Times New Roman" w:eastAsia="Times New Roman" w:hAnsi="Times New Roman" w:cs="Times New Roman"/>
        <w:color w:val="000000"/>
        <w:lang w:val="es-ES" w:eastAsia="es-ES"/>
      </w:rPr>
    </w:pPr>
    <w:r w:rsidRPr="00240A3B">
      <w:rPr>
        <w:rFonts w:ascii="Times New Roman" w:eastAsia="Times New Roman" w:hAnsi="Times New Roman" w:cs="Times New Roman"/>
        <w:noProof/>
        <w:color w:val="000000"/>
        <w:lang w:val="en-US"/>
      </w:rPr>
      <w:drawing>
        <wp:inline distT="0" distB="0" distL="0" distR="0" wp14:anchorId="6BB7E754" wp14:editId="7F1BC24D">
          <wp:extent cx="695325" cy="600075"/>
          <wp:effectExtent l="0" t="0" r="9525" b="9525"/>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240A3B" w:rsidRPr="00240A3B" w:rsidRDefault="00240A3B" w:rsidP="00240A3B">
    <w:pPr>
      <w:keepNext/>
      <w:spacing w:after="0" w:line="240" w:lineRule="auto"/>
      <w:jc w:val="center"/>
      <w:outlineLvl w:val="0"/>
      <w:rPr>
        <w:rFonts w:ascii="Garamond" w:eastAsia="Times New Roman" w:hAnsi="Garamond" w:cs="Arial"/>
        <w:b/>
        <w:bCs/>
        <w:color w:val="000000"/>
        <w:lang w:val="es-ES" w:eastAsia="es-ES"/>
      </w:rPr>
    </w:pPr>
    <w:r w:rsidRPr="00240A3B">
      <w:rPr>
        <w:rFonts w:ascii="Garamond" w:eastAsia="Times New Roman" w:hAnsi="Garamond" w:cs="Arial"/>
        <w:b/>
        <w:bCs/>
        <w:color w:val="000000"/>
        <w:lang w:val="es-ES" w:eastAsia="es-ES"/>
      </w:rPr>
      <w:t>Honorable Concejo Deliberante</w:t>
    </w:r>
  </w:p>
  <w:p w:rsidR="00240A3B" w:rsidRPr="00240A3B" w:rsidRDefault="00240A3B" w:rsidP="00240A3B">
    <w:pPr>
      <w:keepNext/>
      <w:spacing w:after="0" w:line="240" w:lineRule="auto"/>
      <w:jc w:val="center"/>
      <w:outlineLvl w:val="1"/>
      <w:rPr>
        <w:rFonts w:ascii="Garamond" w:eastAsia="Times New Roman" w:hAnsi="Garamond" w:cs="Arial"/>
        <w:b/>
        <w:bCs/>
        <w:color w:val="000000"/>
        <w:lang w:val="es-ES" w:eastAsia="es-ES"/>
      </w:rPr>
    </w:pPr>
    <w:r w:rsidRPr="00240A3B">
      <w:rPr>
        <w:rFonts w:ascii="Garamond" w:eastAsia="Times New Roman" w:hAnsi="Garamond" w:cs="Arial"/>
        <w:b/>
        <w:bCs/>
        <w:color w:val="000000"/>
        <w:lang w:val="es-ES" w:eastAsia="es-ES"/>
      </w:rPr>
      <w:t>Mitre 38    -    Chascomús</w:t>
    </w:r>
  </w:p>
  <w:p w:rsidR="00240A3B" w:rsidRPr="00240A3B" w:rsidRDefault="00240A3B" w:rsidP="00240A3B">
    <w:pPr>
      <w:spacing w:after="0" w:line="240" w:lineRule="auto"/>
      <w:jc w:val="center"/>
      <w:rPr>
        <w:rFonts w:ascii="Arial Black" w:eastAsia="Times New Roman" w:hAnsi="Arial Black" w:cs="Times New Roman"/>
        <w:sz w:val="24"/>
        <w:szCs w:val="24"/>
        <w:lang w:val="es-ES" w:eastAsia="es-ES"/>
      </w:rPr>
    </w:pPr>
    <w:r w:rsidRPr="00240A3B">
      <w:rPr>
        <w:rFonts w:ascii="Arial Black" w:eastAsia="Times New Roman" w:hAnsi="Arial Black" w:cs="Times New Roman"/>
        <w:lang w:val="es-ES" w:eastAsia="es-ES"/>
      </w:rPr>
      <w:t>BLOQUE CAMBIEMOS CHASCOMUS</w:t>
    </w:r>
  </w:p>
  <w:p w:rsidR="00240A3B" w:rsidRPr="00240A3B" w:rsidRDefault="00240A3B" w:rsidP="00240A3B">
    <w:pPr>
      <w:spacing w:after="0" w:line="240" w:lineRule="auto"/>
      <w:jc w:val="center"/>
      <w:rPr>
        <w:rFonts w:ascii="Arial Black" w:eastAsia="Times New Roman" w:hAnsi="Arial Black" w:cs="Times New Roman"/>
        <w:sz w:val="24"/>
        <w:szCs w:val="24"/>
      </w:rPr>
    </w:pPr>
    <w:r w:rsidRPr="00240A3B">
      <w:rPr>
        <w:rFonts w:ascii="Garamond" w:eastAsia="Times New Roman" w:hAnsi="Garamond" w:cs="Times New Roman"/>
        <w:b/>
        <w:i/>
        <w:lang w:val="es-ES" w:eastAsia="es-ES"/>
      </w:rPr>
      <w:tab/>
    </w:r>
    <w:r w:rsidRPr="00240A3B">
      <w:rPr>
        <w:rFonts w:ascii="Arial" w:eastAsia="Times New Roman" w:hAnsi="Arial" w:cs="Arial"/>
        <w:b/>
        <w:bCs/>
        <w:color w:val="000000"/>
        <w:lang w:val="es-ES" w:eastAsia="es-ES"/>
      </w:rPr>
      <w:t>“2024: Año del 225° Aniversario del fallecimiento del fundador de Chascomús –</w:t>
    </w:r>
    <w:r w:rsidRPr="00240A3B">
      <w:rPr>
        <w:rFonts w:ascii="Arial Black" w:eastAsia="Times New Roman" w:hAnsi="Arial Black" w:cs="Times New Roman"/>
        <w:sz w:val="24"/>
        <w:szCs w:val="24"/>
        <w:lang w:val="es-ES" w:eastAsia="es-ES"/>
      </w:rPr>
      <w:t xml:space="preserve"> </w:t>
    </w:r>
    <w:r w:rsidRPr="00240A3B">
      <w:rPr>
        <w:rFonts w:ascii="Arial" w:eastAsia="Times New Roman" w:hAnsi="Arial" w:cs="Arial"/>
        <w:b/>
        <w:bCs/>
        <w:color w:val="000000"/>
        <w:lang w:val="es-ES" w:eastAsia="es-ES"/>
      </w:rPr>
      <w:t>Pedro Nicolás Escribano”</w:t>
    </w:r>
  </w:p>
  <w:p w:rsidR="005A5EB4" w:rsidRDefault="005A5EB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E1B12"/>
    <w:multiLevelType w:val="hybridMultilevel"/>
    <w:tmpl w:val="08A852E8"/>
    <w:lvl w:ilvl="0" w:tplc="D40A1E70">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EB4"/>
    <w:rsid w:val="000C577B"/>
    <w:rsid w:val="001125B9"/>
    <w:rsid w:val="001254DC"/>
    <w:rsid w:val="001D16E7"/>
    <w:rsid w:val="00240A3B"/>
    <w:rsid w:val="0031072C"/>
    <w:rsid w:val="00324F61"/>
    <w:rsid w:val="00433B3C"/>
    <w:rsid w:val="004F542E"/>
    <w:rsid w:val="005A5EB4"/>
    <w:rsid w:val="005B0532"/>
    <w:rsid w:val="0062732A"/>
    <w:rsid w:val="00672644"/>
    <w:rsid w:val="006B1879"/>
    <w:rsid w:val="007642C9"/>
    <w:rsid w:val="007A24EF"/>
    <w:rsid w:val="007E1B95"/>
    <w:rsid w:val="00845FD8"/>
    <w:rsid w:val="00932452"/>
    <w:rsid w:val="00957443"/>
    <w:rsid w:val="00A52716"/>
    <w:rsid w:val="00A83D01"/>
    <w:rsid w:val="00AC6FE6"/>
    <w:rsid w:val="00BA09C2"/>
    <w:rsid w:val="00C86898"/>
    <w:rsid w:val="00CD7DED"/>
    <w:rsid w:val="00D22F43"/>
    <w:rsid w:val="00E44B5D"/>
    <w:rsid w:val="00E77E87"/>
    <w:rsid w:val="00EA3159"/>
    <w:rsid w:val="00EB0B53"/>
    <w:rsid w:val="00EC00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908DF-B018-47D6-A3EF-B3C5EF15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B95"/>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5E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5EB4"/>
  </w:style>
  <w:style w:type="paragraph" w:styleId="Piedepgina">
    <w:name w:val="footer"/>
    <w:basedOn w:val="Normal"/>
    <w:link w:val="PiedepginaCar"/>
    <w:uiPriority w:val="99"/>
    <w:unhideWhenUsed/>
    <w:rsid w:val="005A5E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5EB4"/>
  </w:style>
  <w:style w:type="paragraph" w:styleId="Textodeglobo">
    <w:name w:val="Balloon Text"/>
    <w:basedOn w:val="Normal"/>
    <w:link w:val="TextodegloboCar"/>
    <w:uiPriority w:val="99"/>
    <w:semiHidden/>
    <w:unhideWhenUsed/>
    <w:rsid w:val="00EB0B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0B53"/>
    <w:rPr>
      <w:rFonts w:ascii="Segoe UI" w:hAnsi="Segoe UI" w:cs="Segoe UI"/>
      <w:sz w:val="18"/>
      <w:szCs w:val="18"/>
    </w:rPr>
  </w:style>
  <w:style w:type="paragraph" w:customStyle="1" w:styleId="Default">
    <w:name w:val="Default"/>
    <w:rsid w:val="001254DC"/>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0646">
      <w:bodyDiv w:val="1"/>
      <w:marLeft w:val="0"/>
      <w:marRight w:val="0"/>
      <w:marTop w:val="0"/>
      <w:marBottom w:val="0"/>
      <w:divBdr>
        <w:top w:val="none" w:sz="0" w:space="0" w:color="auto"/>
        <w:left w:val="none" w:sz="0" w:space="0" w:color="auto"/>
        <w:bottom w:val="none" w:sz="0" w:space="0" w:color="auto"/>
        <w:right w:val="none" w:sz="0" w:space="0" w:color="auto"/>
      </w:divBdr>
    </w:div>
    <w:div w:id="914900381">
      <w:bodyDiv w:val="1"/>
      <w:marLeft w:val="0"/>
      <w:marRight w:val="0"/>
      <w:marTop w:val="0"/>
      <w:marBottom w:val="0"/>
      <w:divBdr>
        <w:top w:val="none" w:sz="0" w:space="0" w:color="auto"/>
        <w:left w:val="none" w:sz="0" w:space="0" w:color="auto"/>
        <w:bottom w:val="none" w:sz="0" w:space="0" w:color="auto"/>
        <w:right w:val="none" w:sz="0" w:space="0" w:color="auto"/>
      </w:divBdr>
    </w:div>
    <w:div w:id="152286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4194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SIMM</cp:lastModifiedBy>
  <cp:revision>2</cp:revision>
  <cp:lastPrinted>2024-04-09T12:59:00Z</cp:lastPrinted>
  <dcterms:created xsi:type="dcterms:W3CDTF">2024-04-09T18:15:00Z</dcterms:created>
  <dcterms:modified xsi:type="dcterms:W3CDTF">2024-04-09T18:15:00Z</dcterms:modified>
</cp:coreProperties>
</file>